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5C71" w14:textId="6F4C93DD" w:rsidR="449B5FEE" w:rsidRDefault="449B5FEE">
      <w:r w:rsidRPr="449B5FEE">
        <w:rPr>
          <w:rFonts w:ascii="Calibri" w:eastAsia="Calibri" w:hAnsi="Calibri" w:cs="Calibri"/>
          <w:color w:val="000000" w:themeColor="text1"/>
          <w:sz w:val="24"/>
          <w:szCs w:val="24"/>
        </w:rPr>
        <w:t xml:space="preserve">                  </w:t>
      </w:r>
    </w:p>
    <w:p w14:paraId="64F0D06B" w14:textId="11248DEC" w:rsidR="449B5FEE" w:rsidRDefault="449B5FEE" w:rsidP="449B5FEE">
      <w:pPr>
        <w:jc w:val="center"/>
      </w:pPr>
      <w:r w:rsidRPr="449B5FEE">
        <w:rPr>
          <w:rFonts w:ascii="Calibri" w:eastAsia="Calibri" w:hAnsi="Calibri" w:cs="Calibri"/>
          <w:color w:val="000000" w:themeColor="text1"/>
          <w:sz w:val="24"/>
          <w:szCs w:val="24"/>
        </w:rPr>
        <w:t xml:space="preserve">     </w:t>
      </w:r>
      <w:r w:rsidRPr="449B5FEE">
        <w:rPr>
          <w:rFonts w:ascii="Calibri" w:eastAsia="Calibri" w:hAnsi="Calibri" w:cs="Calibri"/>
          <w:b/>
          <w:bCs/>
          <w:color w:val="0070C0"/>
          <w:sz w:val="32"/>
          <w:szCs w:val="32"/>
        </w:rPr>
        <w:t>Cancer Screening Data Packs for PCNs</w:t>
      </w:r>
    </w:p>
    <w:p w14:paraId="7460EB0C" w14:textId="3FF69BD0" w:rsidR="449B5FEE" w:rsidRDefault="449B5FEE" w:rsidP="449B5FEE">
      <w:pPr>
        <w:spacing w:line="257" w:lineRule="auto"/>
      </w:pPr>
      <w:r w:rsidRPr="449B5FEE">
        <w:rPr>
          <w:rFonts w:ascii="Calibri" w:eastAsia="Calibri" w:hAnsi="Calibri" w:cs="Calibri"/>
          <w:b/>
          <w:bCs/>
          <w:color w:val="0070C0"/>
          <w:sz w:val="28"/>
          <w:szCs w:val="28"/>
        </w:rPr>
        <w:t>Aim</w:t>
      </w:r>
    </w:p>
    <w:p w14:paraId="4AB2E762" w14:textId="51E15935" w:rsidR="449B5FEE" w:rsidRDefault="449B5FEE" w:rsidP="449B5FEE">
      <w:pPr>
        <w:spacing w:line="257" w:lineRule="auto"/>
      </w:pPr>
      <w:r w:rsidRPr="449B5FEE">
        <w:rPr>
          <w:rFonts w:ascii="Calibri" w:eastAsia="Calibri" w:hAnsi="Calibri" w:cs="Calibri"/>
          <w:sz w:val="24"/>
          <w:szCs w:val="24"/>
        </w:rPr>
        <w:t>The aim of the data packs produced by the West Yorkshire and Harrogate Cancer Alliance are to:</w:t>
      </w:r>
    </w:p>
    <w:p w14:paraId="73E1B442" w14:textId="3430242D" w:rsidR="449B5FEE" w:rsidRDefault="449B5FEE" w:rsidP="449B5FEE">
      <w:pPr>
        <w:pStyle w:val="ListParagraph"/>
        <w:numPr>
          <w:ilvl w:val="0"/>
          <w:numId w:val="1"/>
        </w:numPr>
        <w:spacing w:line="257" w:lineRule="auto"/>
        <w:rPr>
          <w:rFonts w:ascii="Calibri" w:eastAsia="Calibri" w:hAnsi="Calibri" w:cs="Calibri"/>
          <w:sz w:val="24"/>
          <w:szCs w:val="24"/>
        </w:rPr>
      </w:pPr>
      <w:r w:rsidRPr="449B5FEE">
        <w:rPr>
          <w:rFonts w:ascii="Calibri" w:eastAsia="Calibri" w:hAnsi="Calibri" w:cs="Calibri"/>
          <w:sz w:val="24"/>
          <w:szCs w:val="24"/>
        </w:rPr>
        <w:t xml:space="preserve">highlight coverage for breast, bowel and cervical screening across each PCN </w:t>
      </w:r>
    </w:p>
    <w:p w14:paraId="4E15767F" w14:textId="7C215097" w:rsidR="449B5FEE" w:rsidRDefault="449B5FEE" w:rsidP="449B5FEE">
      <w:pPr>
        <w:pStyle w:val="ListParagraph"/>
        <w:numPr>
          <w:ilvl w:val="0"/>
          <w:numId w:val="1"/>
        </w:numPr>
        <w:spacing w:line="257" w:lineRule="auto"/>
        <w:rPr>
          <w:rFonts w:ascii="Calibri" w:eastAsia="Calibri" w:hAnsi="Calibri" w:cs="Calibri"/>
          <w:sz w:val="24"/>
          <w:szCs w:val="24"/>
        </w:rPr>
      </w:pPr>
      <w:r w:rsidRPr="449B5FEE">
        <w:rPr>
          <w:rFonts w:ascii="Calibri" w:eastAsia="Calibri" w:hAnsi="Calibri" w:cs="Calibri"/>
          <w:sz w:val="24"/>
          <w:szCs w:val="24"/>
        </w:rPr>
        <w:t xml:space="preserve">focus on comparison of deprivation score and screening rates </w:t>
      </w:r>
    </w:p>
    <w:p w14:paraId="740139A9" w14:textId="111D504E" w:rsidR="449B5FEE" w:rsidRDefault="449B5FEE" w:rsidP="449B5FEE">
      <w:pPr>
        <w:pStyle w:val="ListParagraph"/>
        <w:numPr>
          <w:ilvl w:val="0"/>
          <w:numId w:val="1"/>
        </w:numPr>
        <w:spacing w:line="257" w:lineRule="auto"/>
        <w:rPr>
          <w:rFonts w:ascii="Calibri" w:eastAsia="Calibri" w:hAnsi="Calibri" w:cs="Calibri"/>
          <w:sz w:val="24"/>
          <w:szCs w:val="24"/>
        </w:rPr>
      </w:pPr>
      <w:r w:rsidRPr="449B5FEE">
        <w:rPr>
          <w:rFonts w:ascii="Calibri" w:eastAsia="Calibri" w:hAnsi="Calibri" w:cs="Calibri"/>
          <w:sz w:val="24"/>
          <w:szCs w:val="24"/>
        </w:rPr>
        <w:t>provide historical coverage trend. The intention is to help build a picture of current screening coverage as well as inform future projects in those areas to encourage attendance.</w:t>
      </w:r>
    </w:p>
    <w:p w14:paraId="7B0849B0" w14:textId="424BEA95" w:rsidR="449B5FEE" w:rsidRDefault="449B5FEE" w:rsidP="449B5FEE">
      <w:pPr>
        <w:spacing w:line="257" w:lineRule="auto"/>
      </w:pPr>
      <w:r w:rsidRPr="449B5FEE">
        <w:rPr>
          <w:rFonts w:ascii="Calibri" w:eastAsia="Calibri" w:hAnsi="Calibri" w:cs="Calibri"/>
          <w:sz w:val="24"/>
          <w:szCs w:val="24"/>
        </w:rPr>
        <w:t xml:space="preserve"> </w:t>
      </w:r>
      <w:r w:rsidRPr="449B5FEE">
        <w:rPr>
          <w:rFonts w:ascii="Calibri" w:eastAsia="Calibri" w:hAnsi="Calibri" w:cs="Calibri"/>
          <w:b/>
          <w:bCs/>
          <w:color w:val="0070C0"/>
          <w:sz w:val="28"/>
          <w:szCs w:val="28"/>
        </w:rPr>
        <w:t>How to access the data packs</w:t>
      </w:r>
    </w:p>
    <w:p w14:paraId="537A22D6" w14:textId="4EE085BA" w:rsidR="449B5FEE" w:rsidRDefault="449B5FEE" w:rsidP="449B5FEE">
      <w:pPr>
        <w:spacing w:line="257" w:lineRule="auto"/>
      </w:pPr>
      <w:r w:rsidRPr="449B5FEE">
        <w:rPr>
          <w:rFonts w:ascii="Calibri" w:eastAsia="Calibri" w:hAnsi="Calibri" w:cs="Calibri"/>
          <w:sz w:val="24"/>
          <w:szCs w:val="24"/>
        </w:rPr>
        <w:t xml:space="preserve">The data packs for 2020/21 can be found </w:t>
      </w:r>
      <w:hyperlink r:id="rId10">
        <w:r w:rsidRPr="449B5FEE">
          <w:rPr>
            <w:rStyle w:val="Hyperlink"/>
            <w:rFonts w:ascii="Calibri" w:eastAsia="Calibri" w:hAnsi="Calibri" w:cs="Calibri"/>
            <w:sz w:val="24"/>
            <w:szCs w:val="24"/>
          </w:rPr>
          <w:t>here</w:t>
        </w:r>
      </w:hyperlink>
      <w:r w:rsidRPr="449B5FEE">
        <w:rPr>
          <w:rFonts w:ascii="Calibri" w:eastAsia="Calibri" w:hAnsi="Calibri" w:cs="Calibri"/>
          <w:sz w:val="24"/>
          <w:szCs w:val="24"/>
        </w:rPr>
        <w:t>.  These will be updated annually by the PQI team.</w:t>
      </w:r>
    </w:p>
    <w:p w14:paraId="2B8E6A7C" w14:textId="45CC11A3" w:rsidR="449B5FEE" w:rsidRDefault="449B5FEE" w:rsidP="449B5FEE">
      <w:pPr>
        <w:spacing w:line="257" w:lineRule="auto"/>
      </w:pPr>
      <w:r w:rsidRPr="449B5FEE">
        <w:rPr>
          <w:rFonts w:ascii="Calibri" w:eastAsia="Calibri" w:hAnsi="Calibri" w:cs="Calibri"/>
          <w:sz w:val="24"/>
          <w:szCs w:val="24"/>
        </w:rPr>
        <w:t xml:space="preserve"> </w:t>
      </w:r>
      <w:r w:rsidRPr="449B5FEE">
        <w:rPr>
          <w:rFonts w:ascii="Calibri" w:eastAsia="Calibri" w:hAnsi="Calibri" w:cs="Calibri"/>
          <w:b/>
          <w:bCs/>
          <w:color w:val="0070C0"/>
          <w:sz w:val="28"/>
          <w:szCs w:val="28"/>
        </w:rPr>
        <w:t>Information provided in the data packs</w:t>
      </w:r>
    </w:p>
    <w:p w14:paraId="02F64CF2" w14:textId="6079B6C9" w:rsidR="449B5FEE" w:rsidRDefault="449B5FEE" w:rsidP="449B5FEE">
      <w:pPr>
        <w:spacing w:line="257" w:lineRule="auto"/>
      </w:pPr>
      <w:r w:rsidRPr="449B5FEE">
        <w:rPr>
          <w:rFonts w:ascii="Calibri" w:eastAsia="Calibri" w:hAnsi="Calibri" w:cs="Calibri"/>
          <w:b/>
          <w:bCs/>
          <w:sz w:val="24"/>
          <w:szCs w:val="24"/>
        </w:rPr>
        <w:t>Slide 1</w:t>
      </w:r>
      <w:r w:rsidRPr="449B5FEE">
        <w:rPr>
          <w:rFonts w:ascii="Calibri" w:eastAsia="Calibri" w:hAnsi="Calibri" w:cs="Calibri"/>
          <w:sz w:val="24"/>
          <w:szCs w:val="24"/>
        </w:rPr>
        <w:t xml:space="preserve"> notes which PCN the pack relates to.</w:t>
      </w:r>
    </w:p>
    <w:p w14:paraId="1573B702" w14:textId="28F45C2B" w:rsidR="449B5FEE" w:rsidRDefault="449B5FEE" w:rsidP="449B5FEE">
      <w:pPr>
        <w:spacing w:line="257" w:lineRule="auto"/>
      </w:pPr>
      <w:r w:rsidRPr="449B5FEE">
        <w:rPr>
          <w:rFonts w:ascii="Calibri" w:eastAsia="Calibri" w:hAnsi="Calibri" w:cs="Calibri"/>
          <w:sz w:val="16"/>
          <w:szCs w:val="16"/>
        </w:rPr>
        <w:t xml:space="preserve"> </w:t>
      </w:r>
      <w:r w:rsidRPr="449B5FEE">
        <w:rPr>
          <w:rFonts w:ascii="Calibri" w:eastAsia="Calibri" w:hAnsi="Calibri" w:cs="Calibri"/>
          <w:b/>
          <w:bCs/>
          <w:sz w:val="24"/>
          <w:szCs w:val="24"/>
        </w:rPr>
        <w:t>Slide 2</w:t>
      </w:r>
      <w:r w:rsidRPr="449B5FEE">
        <w:rPr>
          <w:rFonts w:ascii="Calibri" w:eastAsia="Calibri" w:hAnsi="Calibri" w:cs="Calibri"/>
          <w:sz w:val="24"/>
          <w:szCs w:val="24"/>
        </w:rPr>
        <w:t xml:space="preserve"> includes three graphs which give an overview of cancer screening in the CCG over the last 10 years for both uptake and coverage.  Dotted lines indicate the target for each of the 3 programmes. </w:t>
      </w:r>
    </w:p>
    <w:p w14:paraId="66A86729" w14:textId="7CA188E8" w:rsidR="449B5FEE" w:rsidRDefault="449B5FEE" w:rsidP="449B5FEE">
      <w:pPr>
        <w:spacing w:line="257" w:lineRule="auto"/>
      </w:pPr>
      <w:r w:rsidRPr="449B5FEE">
        <w:rPr>
          <w:rFonts w:ascii="Calibri" w:eastAsia="Calibri" w:hAnsi="Calibri" w:cs="Calibri"/>
          <w:sz w:val="24"/>
          <w:szCs w:val="24"/>
        </w:rPr>
        <w:t>Percentages in the top left box are the average CCG screening coverage for 2020/21</w:t>
      </w:r>
      <w:r w:rsidR="002529D8">
        <w:rPr>
          <w:rFonts w:ascii="Calibri" w:eastAsia="Calibri" w:hAnsi="Calibri" w:cs="Calibri"/>
          <w:sz w:val="24"/>
          <w:szCs w:val="24"/>
        </w:rPr>
        <w:t>.  I</w:t>
      </w:r>
      <w:r w:rsidRPr="449B5FEE">
        <w:rPr>
          <w:rFonts w:ascii="Calibri" w:eastAsia="Calibri" w:hAnsi="Calibri" w:cs="Calibri"/>
          <w:sz w:val="24"/>
          <w:szCs w:val="24"/>
        </w:rPr>
        <w:t>f the numbers are green then they hit the target</w:t>
      </w:r>
      <w:r w:rsidR="002529D8">
        <w:rPr>
          <w:rFonts w:ascii="Calibri" w:eastAsia="Calibri" w:hAnsi="Calibri" w:cs="Calibri"/>
          <w:sz w:val="24"/>
          <w:szCs w:val="24"/>
        </w:rPr>
        <w:t>; i</w:t>
      </w:r>
      <w:r w:rsidRPr="449B5FEE">
        <w:rPr>
          <w:rFonts w:ascii="Calibri" w:eastAsia="Calibri" w:hAnsi="Calibri" w:cs="Calibri"/>
          <w:sz w:val="24"/>
          <w:szCs w:val="24"/>
        </w:rPr>
        <w:t>f not, the number is in red. The target required for each screening programme is underneath each number.</w:t>
      </w:r>
    </w:p>
    <w:p w14:paraId="213AA5B6" w14:textId="14E62F06" w:rsidR="449B5FEE" w:rsidRDefault="449B5FEE" w:rsidP="449B5FEE">
      <w:pPr>
        <w:spacing w:line="257" w:lineRule="auto"/>
      </w:pPr>
      <w:r w:rsidRPr="449B5FEE">
        <w:rPr>
          <w:rFonts w:ascii="Calibri" w:eastAsia="Calibri" w:hAnsi="Calibri" w:cs="Calibri"/>
          <w:sz w:val="16"/>
          <w:szCs w:val="16"/>
        </w:rPr>
        <w:t xml:space="preserve"> </w:t>
      </w:r>
      <w:r w:rsidRPr="449B5FEE">
        <w:rPr>
          <w:rFonts w:ascii="Calibri" w:eastAsia="Calibri" w:hAnsi="Calibri" w:cs="Calibri"/>
          <w:b/>
          <w:bCs/>
          <w:sz w:val="24"/>
          <w:szCs w:val="24"/>
        </w:rPr>
        <w:t xml:space="preserve">Slide 3 </w:t>
      </w:r>
      <w:r w:rsidRPr="449B5FEE">
        <w:rPr>
          <w:rFonts w:ascii="Calibri" w:eastAsia="Calibri" w:hAnsi="Calibri" w:cs="Calibri"/>
          <w:sz w:val="24"/>
          <w:szCs w:val="24"/>
        </w:rPr>
        <w:t xml:space="preserve">shows cervical screening coverage data for the younger age group (25-49) for the whole PCN. A table shows a breakdown for each practice for 2020/21 with their % achieved and an average at the bottom. It also shows the number of people within each practice eligible for screening and the number of additional patients which if they had attended screening the practice would then have reached the target. </w:t>
      </w:r>
    </w:p>
    <w:p w14:paraId="56ADCBAC" w14:textId="0E5C4ABF" w:rsidR="449B5FEE" w:rsidRDefault="449B5FEE" w:rsidP="449B5FEE">
      <w:pPr>
        <w:spacing w:line="257" w:lineRule="auto"/>
      </w:pPr>
      <w:r w:rsidRPr="449B5FEE">
        <w:rPr>
          <w:rFonts w:ascii="Calibri" w:eastAsia="Calibri" w:hAnsi="Calibri" w:cs="Calibri"/>
          <w:sz w:val="24"/>
          <w:szCs w:val="24"/>
        </w:rPr>
        <w:t xml:space="preserve">A graph below the table shows the coverage for that PCN over the last 10 years. </w:t>
      </w:r>
    </w:p>
    <w:p w14:paraId="61E77AD1" w14:textId="27EF8EC2" w:rsidR="449B5FEE" w:rsidRDefault="449B5FEE" w:rsidP="449B5FEE">
      <w:pPr>
        <w:spacing w:line="257" w:lineRule="auto"/>
      </w:pPr>
      <w:r w:rsidRPr="449B5FEE">
        <w:rPr>
          <w:rFonts w:ascii="Calibri" w:eastAsia="Calibri" w:hAnsi="Calibri" w:cs="Calibri"/>
          <w:sz w:val="24"/>
          <w:szCs w:val="24"/>
        </w:rPr>
        <w:t>A graph on the right-hand side shows all the other PCNs</w:t>
      </w:r>
      <w:r w:rsidR="002529D8">
        <w:rPr>
          <w:rFonts w:ascii="Calibri" w:eastAsia="Calibri" w:hAnsi="Calibri" w:cs="Calibri"/>
          <w:sz w:val="24"/>
          <w:szCs w:val="24"/>
        </w:rPr>
        <w:t>’</w:t>
      </w:r>
      <w:r w:rsidRPr="449B5FEE">
        <w:rPr>
          <w:rFonts w:ascii="Calibri" w:eastAsia="Calibri" w:hAnsi="Calibri" w:cs="Calibri"/>
          <w:sz w:val="24"/>
          <w:szCs w:val="24"/>
        </w:rPr>
        <w:t xml:space="preserve"> ranked performance with an average total at the bottom.</w:t>
      </w:r>
    </w:p>
    <w:p w14:paraId="56F74EAB" w14:textId="41306D31" w:rsidR="449B5FEE" w:rsidRDefault="449B5FEE" w:rsidP="449B5FEE">
      <w:pPr>
        <w:spacing w:line="257" w:lineRule="auto"/>
      </w:pPr>
      <w:r w:rsidRPr="449B5FEE">
        <w:rPr>
          <w:rFonts w:ascii="Calibri" w:eastAsia="Calibri" w:hAnsi="Calibri" w:cs="Calibri"/>
          <w:sz w:val="16"/>
          <w:szCs w:val="16"/>
        </w:rPr>
        <w:t xml:space="preserve"> </w:t>
      </w:r>
      <w:r w:rsidRPr="449B5FEE">
        <w:rPr>
          <w:rFonts w:ascii="Calibri" w:eastAsia="Calibri" w:hAnsi="Calibri" w:cs="Calibri"/>
          <w:b/>
          <w:bCs/>
          <w:sz w:val="24"/>
          <w:szCs w:val="24"/>
        </w:rPr>
        <w:t>Slide 4</w:t>
      </w:r>
      <w:r w:rsidRPr="449B5FEE">
        <w:rPr>
          <w:rFonts w:ascii="Calibri" w:eastAsia="Calibri" w:hAnsi="Calibri" w:cs="Calibri"/>
          <w:sz w:val="24"/>
          <w:szCs w:val="24"/>
        </w:rPr>
        <w:t xml:space="preserve"> shows cervical coverage (age 25-49) (%) vs deprivation (IMD 2019).  A graph shows the line of deprivation for the whole CCG area with each GP practice represented as a coloured dot with a key on the right-hand side. If a practice is above the black trend line, then it has relatively high coverage for its level of deprivation, practices below the line have lower than expected coverage for this level of deprivation.  </w:t>
      </w:r>
    </w:p>
    <w:p w14:paraId="5FD20F5A" w14:textId="717B9059" w:rsidR="449B5FEE" w:rsidRDefault="449B5FEE" w:rsidP="449B5FEE">
      <w:pPr>
        <w:spacing w:line="257" w:lineRule="auto"/>
      </w:pPr>
      <w:r w:rsidRPr="449B5FEE">
        <w:rPr>
          <w:rFonts w:ascii="Calibri" w:eastAsia="Calibri" w:hAnsi="Calibri" w:cs="Calibri"/>
          <w:b/>
          <w:bCs/>
          <w:sz w:val="16"/>
          <w:szCs w:val="16"/>
        </w:rPr>
        <w:t xml:space="preserve"> </w:t>
      </w:r>
      <w:r w:rsidRPr="449B5FEE">
        <w:rPr>
          <w:rFonts w:ascii="Calibri" w:eastAsia="Calibri" w:hAnsi="Calibri" w:cs="Calibri"/>
          <w:b/>
          <w:bCs/>
          <w:sz w:val="24"/>
          <w:szCs w:val="24"/>
        </w:rPr>
        <w:t xml:space="preserve">Slides 5-6 </w:t>
      </w:r>
      <w:r w:rsidRPr="449B5FEE">
        <w:rPr>
          <w:rFonts w:ascii="Calibri" w:eastAsia="Calibri" w:hAnsi="Calibri" w:cs="Calibri"/>
          <w:sz w:val="24"/>
          <w:szCs w:val="24"/>
        </w:rPr>
        <w:t>show the same as 3-4 but for the higher age group (50-64) for cervical screening.</w:t>
      </w:r>
    </w:p>
    <w:p w14:paraId="0414D317" w14:textId="246BCD8B" w:rsidR="449B5FEE" w:rsidRDefault="449B5FEE" w:rsidP="449B5FEE">
      <w:pPr>
        <w:spacing w:line="257" w:lineRule="auto"/>
      </w:pPr>
      <w:r w:rsidRPr="449B5FEE">
        <w:rPr>
          <w:rFonts w:ascii="Calibri" w:eastAsia="Calibri" w:hAnsi="Calibri" w:cs="Calibri"/>
          <w:sz w:val="16"/>
          <w:szCs w:val="16"/>
        </w:rPr>
        <w:t xml:space="preserve"> </w:t>
      </w:r>
      <w:r w:rsidRPr="449B5FEE">
        <w:rPr>
          <w:rFonts w:ascii="Calibri" w:eastAsia="Calibri" w:hAnsi="Calibri" w:cs="Calibri"/>
          <w:b/>
          <w:bCs/>
          <w:sz w:val="24"/>
          <w:szCs w:val="24"/>
        </w:rPr>
        <w:t>Slides 7-8</w:t>
      </w:r>
      <w:r w:rsidRPr="449B5FEE">
        <w:rPr>
          <w:rFonts w:ascii="Calibri" w:eastAsia="Calibri" w:hAnsi="Calibri" w:cs="Calibri"/>
          <w:sz w:val="24"/>
          <w:szCs w:val="24"/>
        </w:rPr>
        <w:t xml:space="preserve"> show as above but for bowel screening</w:t>
      </w:r>
    </w:p>
    <w:p w14:paraId="0833412B" w14:textId="372C585A" w:rsidR="449B5FEE" w:rsidRDefault="449B5FEE" w:rsidP="449B5FEE">
      <w:pPr>
        <w:spacing w:line="257" w:lineRule="auto"/>
      </w:pPr>
      <w:r w:rsidRPr="449B5FEE">
        <w:rPr>
          <w:rFonts w:ascii="Calibri" w:eastAsia="Calibri" w:hAnsi="Calibri" w:cs="Calibri"/>
          <w:sz w:val="16"/>
          <w:szCs w:val="16"/>
        </w:rPr>
        <w:t xml:space="preserve"> </w:t>
      </w:r>
      <w:r w:rsidRPr="449B5FEE">
        <w:rPr>
          <w:rFonts w:ascii="Calibri" w:eastAsia="Calibri" w:hAnsi="Calibri" w:cs="Calibri"/>
          <w:b/>
          <w:bCs/>
          <w:sz w:val="24"/>
          <w:szCs w:val="24"/>
        </w:rPr>
        <w:t>Slides 9-10</w:t>
      </w:r>
      <w:r w:rsidRPr="449B5FEE">
        <w:rPr>
          <w:rFonts w:ascii="Calibri" w:eastAsia="Calibri" w:hAnsi="Calibri" w:cs="Calibri"/>
          <w:sz w:val="24"/>
          <w:szCs w:val="24"/>
        </w:rPr>
        <w:t xml:space="preserve"> show as above but for breast screening</w:t>
      </w:r>
    </w:p>
    <w:p w14:paraId="49FF174E" w14:textId="1ECB9D22" w:rsidR="449B5FEE" w:rsidRDefault="449B5FEE" w:rsidP="449B5FEE">
      <w:pPr>
        <w:spacing w:line="257" w:lineRule="auto"/>
      </w:pPr>
      <w:r w:rsidRPr="449B5FEE">
        <w:rPr>
          <w:rFonts w:ascii="Calibri" w:eastAsia="Calibri" w:hAnsi="Calibri" w:cs="Calibri"/>
          <w:sz w:val="16"/>
          <w:szCs w:val="16"/>
        </w:rPr>
        <w:t xml:space="preserve"> </w:t>
      </w:r>
      <w:r w:rsidRPr="449B5FEE">
        <w:rPr>
          <w:rFonts w:ascii="Calibri" w:eastAsia="Calibri" w:hAnsi="Calibri" w:cs="Calibri"/>
          <w:b/>
          <w:bCs/>
          <w:sz w:val="24"/>
          <w:szCs w:val="24"/>
        </w:rPr>
        <w:t xml:space="preserve">Slide 11 </w:t>
      </w:r>
      <w:r w:rsidRPr="449B5FEE">
        <w:rPr>
          <w:rFonts w:ascii="Calibri" w:eastAsia="Calibri" w:hAnsi="Calibri" w:cs="Calibri"/>
          <w:sz w:val="24"/>
          <w:szCs w:val="24"/>
        </w:rPr>
        <w:t>shows data sources and links.</w:t>
      </w:r>
    </w:p>
    <w:p w14:paraId="3A46EDD4" w14:textId="381B7A1F" w:rsidR="449B5FEE" w:rsidRDefault="449B5FEE" w:rsidP="449B5FEE">
      <w:pPr>
        <w:spacing w:after="0"/>
        <w:rPr>
          <w:rFonts w:eastAsiaTheme="minorEastAsia"/>
          <w:sz w:val="24"/>
          <w:szCs w:val="24"/>
        </w:rPr>
      </w:pPr>
    </w:p>
    <w:sectPr w:rsidR="449B5FEE">
      <w:headerReference w:type="default" r:id="rId11"/>
      <w:footerReference w:type="default" r:id="rId12"/>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E4BD" w14:textId="77777777" w:rsidR="00000000" w:rsidRDefault="002529D8">
      <w:pPr>
        <w:spacing w:after="0" w:line="240" w:lineRule="auto"/>
      </w:pPr>
      <w:r>
        <w:separator/>
      </w:r>
    </w:p>
  </w:endnote>
  <w:endnote w:type="continuationSeparator" w:id="0">
    <w:p w14:paraId="228A26C9" w14:textId="77777777" w:rsidR="00000000" w:rsidRDefault="00252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2C35D252" w14:paraId="15332F16" w14:textId="77777777" w:rsidTr="2C35D252">
      <w:tc>
        <w:tcPr>
          <w:tcW w:w="3485" w:type="dxa"/>
        </w:tcPr>
        <w:p w14:paraId="307E09CA" w14:textId="1F5BC074" w:rsidR="2C35D252" w:rsidRDefault="2C35D252" w:rsidP="2C35D252">
          <w:pPr>
            <w:pStyle w:val="Header"/>
            <w:ind w:left="-115"/>
          </w:pPr>
        </w:p>
      </w:tc>
      <w:tc>
        <w:tcPr>
          <w:tcW w:w="3485" w:type="dxa"/>
        </w:tcPr>
        <w:p w14:paraId="086C7646" w14:textId="15B47C51" w:rsidR="2C35D252" w:rsidRDefault="2C35D252" w:rsidP="2C35D252">
          <w:pPr>
            <w:pStyle w:val="Header"/>
            <w:jc w:val="center"/>
          </w:pPr>
        </w:p>
      </w:tc>
      <w:tc>
        <w:tcPr>
          <w:tcW w:w="3485" w:type="dxa"/>
        </w:tcPr>
        <w:p w14:paraId="200684BA" w14:textId="6B4F5048" w:rsidR="2C35D252" w:rsidRDefault="2C35D252" w:rsidP="2C35D252">
          <w:pPr>
            <w:pStyle w:val="Header"/>
            <w:ind w:right="-115"/>
            <w:jc w:val="right"/>
          </w:pPr>
        </w:p>
      </w:tc>
    </w:tr>
  </w:tbl>
  <w:p w14:paraId="1A4C1015" w14:textId="3FB999BD" w:rsidR="2C35D252" w:rsidRDefault="2C35D252" w:rsidP="2C35D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53A3A" w14:textId="77777777" w:rsidR="00000000" w:rsidRDefault="002529D8">
      <w:pPr>
        <w:spacing w:after="0" w:line="240" w:lineRule="auto"/>
      </w:pPr>
      <w:r>
        <w:separator/>
      </w:r>
    </w:p>
  </w:footnote>
  <w:footnote w:type="continuationSeparator" w:id="0">
    <w:p w14:paraId="32461F6A" w14:textId="77777777" w:rsidR="00000000" w:rsidRDefault="00252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2C35D252" w14:paraId="0FC863DD" w14:textId="77777777" w:rsidTr="2C35D252">
      <w:tc>
        <w:tcPr>
          <w:tcW w:w="3485" w:type="dxa"/>
        </w:tcPr>
        <w:p w14:paraId="618125E7" w14:textId="4EA152AC" w:rsidR="00C35588" w:rsidRDefault="00C35588" w:rsidP="2C35D252">
          <w:pPr>
            <w:pStyle w:val="Header"/>
            <w:ind w:left="-115"/>
            <w:rPr>
              <w:rFonts w:ascii="Calibri" w:eastAsia="Calibri" w:hAnsi="Calibri" w:cs="Calibri"/>
              <w:color w:val="000000" w:themeColor="text1"/>
              <w:sz w:val="24"/>
              <w:szCs w:val="24"/>
            </w:rPr>
          </w:pPr>
          <w:r>
            <w:rPr>
              <w:noProof/>
            </w:rPr>
            <w:drawing>
              <wp:inline distT="0" distB="0" distL="0" distR="0" wp14:anchorId="521109A5" wp14:editId="5985D365">
                <wp:extent cx="2168178" cy="391095"/>
                <wp:effectExtent l="0" t="0" r="0" b="9525"/>
                <wp:docPr id="2274690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68178" cy="391095"/>
                        </a:xfrm>
                        <a:prstGeom prst="rect">
                          <a:avLst/>
                        </a:prstGeom>
                      </pic:spPr>
                    </pic:pic>
                  </a:graphicData>
                </a:graphic>
              </wp:inline>
            </w:drawing>
          </w:r>
        </w:p>
      </w:tc>
      <w:tc>
        <w:tcPr>
          <w:tcW w:w="3485" w:type="dxa"/>
        </w:tcPr>
        <w:p w14:paraId="25F32312" w14:textId="039FD231" w:rsidR="2C35D252" w:rsidRDefault="2C35D252" w:rsidP="2C35D252">
          <w:pPr>
            <w:pStyle w:val="Header"/>
            <w:jc w:val="center"/>
          </w:pPr>
        </w:p>
      </w:tc>
      <w:tc>
        <w:tcPr>
          <w:tcW w:w="3485" w:type="dxa"/>
        </w:tcPr>
        <w:p w14:paraId="2215BC1E" w14:textId="26FF0C8B" w:rsidR="2C35D252" w:rsidRDefault="2C35D252" w:rsidP="2C35D252">
          <w:pPr>
            <w:pStyle w:val="Header"/>
            <w:ind w:right="-115"/>
            <w:jc w:val="right"/>
          </w:pPr>
        </w:p>
      </w:tc>
    </w:tr>
  </w:tbl>
  <w:p w14:paraId="47113112" w14:textId="5FEB84E0" w:rsidR="2C35D252" w:rsidRDefault="2C35D252" w:rsidP="2C35D252">
    <w:pPr>
      <w:pStyle w:val="Header"/>
    </w:pPr>
  </w:p>
</w:hdr>
</file>

<file path=word/intelligence2.xml><?xml version="1.0" encoding="utf-8"?>
<int2:intelligence xmlns:int2="http://schemas.microsoft.com/office/intelligence/2020/intelligence">
  <int2:observations>
    <int2:textHash int2:hashCode="vFIStxsqKptNJx" int2:id="bABS1Bll">
      <int2:state int2:type="AugLoop_Text_Critique" int2:value="Rejected"/>
    </int2:textHash>
    <int2:textHash int2:hashCode="RoHRJMxsS3O6q/" int2:id="v5OFxXbd">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5B657"/>
    <w:multiLevelType w:val="hybridMultilevel"/>
    <w:tmpl w:val="50E26EE2"/>
    <w:lvl w:ilvl="0" w:tplc="65421024">
      <w:start w:val="1"/>
      <w:numFmt w:val="bullet"/>
      <w:lvlText w:val="·"/>
      <w:lvlJc w:val="left"/>
      <w:pPr>
        <w:ind w:left="720" w:hanging="360"/>
      </w:pPr>
      <w:rPr>
        <w:rFonts w:ascii="Symbol" w:hAnsi="Symbol" w:hint="default"/>
      </w:rPr>
    </w:lvl>
    <w:lvl w:ilvl="1" w:tplc="AB241A1A">
      <w:start w:val="1"/>
      <w:numFmt w:val="bullet"/>
      <w:lvlText w:val="o"/>
      <w:lvlJc w:val="left"/>
      <w:pPr>
        <w:ind w:left="1440" w:hanging="360"/>
      </w:pPr>
      <w:rPr>
        <w:rFonts w:ascii="Courier New" w:hAnsi="Courier New" w:hint="default"/>
      </w:rPr>
    </w:lvl>
    <w:lvl w:ilvl="2" w:tplc="C5A603DE">
      <w:start w:val="1"/>
      <w:numFmt w:val="bullet"/>
      <w:lvlText w:val=""/>
      <w:lvlJc w:val="left"/>
      <w:pPr>
        <w:ind w:left="2160" w:hanging="360"/>
      </w:pPr>
      <w:rPr>
        <w:rFonts w:ascii="Wingdings" w:hAnsi="Wingdings" w:hint="default"/>
      </w:rPr>
    </w:lvl>
    <w:lvl w:ilvl="3" w:tplc="D7987924">
      <w:start w:val="1"/>
      <w:numFmt w:val="bullet"/>
      <w:lvlText w:val=""/>
      <w:lvlJc w:val="left"/>
      <w:pPr>
        <w:ind w:left="2880" w:hanging="360"/>
      </w:pPr>
      <w:rPr>
        <w:rFonts w:ascii="Symbol" w:hAnsi="Symbol" w:hint="default"/>
      </w:rPr>
    </w:lvl>
    <w:lvl w:ilvl="4" w:tplc="B958190A">
      <w:start w:val="1"/>
      <w:numFmt w:val="bullet"/>
      <w:lvlText w:val="o"/>
      <w:lvlJc w:val="left"/>
      <w:pPr>
        <w:ind w:left="3600" w:hanging="360"/>
      </w:pPr>
      <w:rPr>
        <w:rFonts w:ascii="Courier New" w:hAnsi="Courier New" w:hint="default"/>
      </w:rPr>
    </w:lvl>
    <w:lvl w:ilvl="5" w:tplc="DEA88332">
      <w:start w:val="1"/>
      <w:numFmt w:val="bullet"/>
      <w:lvlText w:val=""/>
      <w:lvlJc w:val="left"/>
      <w:pPr>
        <w:ind w:left="4320" w:hanging="360"/>
      </w:pPr>
      <w:rPr>
        <w:rFonts w:ascii="Wingdings" w:hAnsi="Wingdings" w:hint="default"/>
      </w:rPr>
    </w:lvl>
    <w:lvl w:ilvl="6" w:tplc="9E081606">
      <w:start w:val="1"/>
      <w:numFmt w:val="bullet"/>
      <w:lvlText w:val=""/>
      <w:lvlJc w:val="left"/>
      <w:pPr>
        <w:ind w:left="5040" w:hanging="360"/>
      </w:pPr>
      <w:rPr>
        <w:rFonts w:ascii="Symbol" w:hAnsi="Symbol" w:hint="default"/>
      </w:rPr>
    </w:lvl>
    <w:lvl w:ilvl="7" w:tplc="59429740">
      <w:start w:val="1"/>
      <w:numFmt w:val="bullet"/>
      <w:lvlText w:val="o"/>
      <w:lvlJc w:val="left"/>
      <w:pPr>
        <w:ind w:left="5760" w:hanging="360"/>
      </w:pPr>
      <w:rPr>
        <w:rFonts w:ascii="Courier New" w:hAnsi="Courier New" w:hint="default"/>
      </w:rPr>
    </w:lvl>
    <w:lvl w:ilvl="8" w:tplc="053E915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31054B"/>
    <w:rsid w:val="002529D8"/>
    <w:rsid w:val="00C35588"/>
    <w:rsid w:val="01052A72"/>
    <w:rsid w:val="06E9167B"/>
    <w:rsid w:val="073C59C0"/>
    <w:rsid w:val="0A401150"/>
    <w:rsid w:val="0C972234"/>
    <w:rsid w:val="1331054B"/>
    <w:rsid w:val="17D9D4DB"/>
    <w:rsid w:val="1D4DFE59"/>
    <w:rsid w:val="1DC9AC94"/>
    <w:rsid w:val="1DFE5DF4"/>
    <w:rsid w:val="1F1E89D8"/>
    <w:rsid w:val="1F3CD952"/>
    <w:rsid w:val="1F657CF5"/>
    <w:rsid w:val="231C8782"/>
    <w:rsid w:val="25AFC651"/>
    <w:rsid w:val="27237D4B"/>
    <w:rsid w:val="2A7F8BF9"/>
    <w:rsid w:val="2C1B5C5A"/>
    <w:rsid w:val="2C1FFC6A"/>
    <w:rsid w:val="2C35D252"/>
    <w:rsid w:val="378CF196"/>
    <w:rsid w:val="39B2AFD5"/>
    <w:rsid w:val="3CEDCB40"/>
    <w:rsid w:val="40256C02"/>
    <w:rsid w:val="40F2BCAF"/>
    <w:rsid w:val="442B5732"/>
    <w:rsid w:val="449B5FEE"/>
    <w:rsid w:val="482A5F75"/>
    <w:rsid w:val="522A3866"/>
    <w:rsid w:val="54EFBA20"/>
    <w:rsid w:val="575C63CB"/>
    <w:rsid w:val="5B6D079C"/>
    <w:rsid w:val="5D5C473C"/>
    <w:rsid w:val="5DD7226B"/>
    <w:rsid w:val="5EA4A85E"/>
    <w:rsid w:val="61D62AAE"/>
    <w:rsid w:val="62916B31"/>
    <w:rsid w:val="62AA938E"/>
    <w:rsid w:val="62B196FE"/>
    <w:rsid w:val="645DD07C"/>
    <w:rsid w:val="650DCB70"/>
    <w:rsid w:val="677E04B1"/>
    <w:rsid w:val="69FE556C"/>
    <w:rsid w:val="6D18DD55"/>
    <w:rsid w:val="6F891696"/>
    <w:rsid w:val="71FF818D"/>
    <w:rsid w:val="723F0781"/>
    <w:rsid w:val="72CD0780"/>
    <w:rsid w:val="73C3F591"/>
    <w:rsid w:val="7537224F"/>
    <w:rsid w:val="7C9A26C6"/>
    <w:rsid w:val="7EB996A9"/>
    <w:rsid w:val="7FA56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054B"/>
  <w15:chartTrackingRefBased/>
  <w15:docId w15:val="{E80EDE61-A899-442C-9A0F-B3E14372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c0e55688e0c54233" Type="http://schemas.microsoft.com/office/2020/10/relationships/intelligence" Target="intelligence2.xml"/><Relationship Id="rId5" Type="http://schemas.openxmlformats.org/officeDocument/2006/relationships/styles" Target="styles.xml"/><Relationship Id="rId10" Type="http://schemas.openxmlformats.org/officeDocument/2006/relationships/hyperlink" Target="https://nhs.sharepoint.com/:f:/r/sites/msteams_1541c0/Shared%20Documents/General/Cancer%20Alliance%20-%20Screening%20Data%20Packs?csf=1&amp;web=1&amp;e=ePQLo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6571EC67EDE44985E6D0CC3B0BDA9" ma:contentTypeVersion="17" ma:contentTypeDescription="Create a new document." ma:contentTypeScope="" ma:versionID="5518c9bea1a3c8fe2d011ac58e91bb98">
  <xsd:schema xmlns:xsd="http://www.w3.org/2001/XMLSchema" xmlns:xs="http://www.w3.org/2001/XMLSchema" xmlns:p="http://schemas.microsoft.com/office/2006/metadata/properties" xmlns:ns1="http://schemas.microsoft.com/sharepoint/v3" xmlns:ns2="98453f7d-33ba-4bba-81a2-a040b7a8987f" xmlns:ns3="435440a9-b756-4f02-8397-23bac2d0f8eb" targetNamespace="http://schemas.microsoft.com/office/2006/metadata/properties" ma:root="true" ma:fieldsID="f061c47fc2f4dc29a95e303e2ebcbff7" ns1:_="" ns2:_="" ns3:_="">
    <xsd:import namespace="http://schemas.microsoft.com/sharepoint/v3"/>
    <xsd:import namespace="98453f7d-33ba-4bba-81a2-a040b7a8987f"/>
    <xsd:import namespace="435440a9-b756-4f02-8397-23bac2d0f8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453f7d-33ba-4bba-81a2-a040b7a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5440a9-b756-4f02-8397-23bac2d0f8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37b2758-3879-4f43-bffb-aae062e1be55}" ma:internalName="TaxCatchAll" ma:showField="CatchAllData" ma:web="435440a9-b756-4f02-8397-23bac2d0f8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35440a9-b756-4f02-8397-23bac2d0f8eb" xsi:nil="true"/>
    <lcf76f155ced4ddcb4097134ff3c332f xmlns="98453f7d-33ba-4bba-81a2-a040b7a898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87C300-B8C0-4027-9DB2-172DDADAB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453f7d-33ba-4bba-81a2-a040b7a8987f"/>
    <ds:schemaRef ds:uri="435440a9-b756-4f02-8397-23bac2d0f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30059-AAC3-4AA6-AA07-500A22D28A39}">
  <ds:schemaRefs>
    <ds:schemaRef ds:uri="http://schemas.microsoft.com/sharepoint/v3/contenttype/forms"/>
  </ds:schemaRefs>
</ds:datastoreItem>
</file>

<file path=customXml/itemProps3.xml><?xml version="1.0" encoding="utf-8"?>
<ds:datastoreItem xmlns:ds="http://schemas.openxmlformats.org/officeDocument/2006/customXml" ds:itemID="{FA4093F3-6490-4F16-AD2D-8179986B1F7F}">
  <ds:schemaRefs>
    <ds:schemaRef ds:uri="http://schemas.microsoft.com/office/2006/metadata/properties"/>
    <ds:schemaRef ds:uri="http://schemas.microsoft.com/office/infopath/2007/PartnerControls"/>
    <ds:schemaRef ds:uri="http://schemas.microsoft.com/sharepoint/v3"/>
    <ds:schemaRef ds:uri="435440a9-b756-4f02-8397-23bac2d0f8eb"/>
    <ds:schemaRef ds:uri="98453f7d-33ba-4bba-81a2-a040b7a8987f"/>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Cat (CITY VIEW MEDICAL PRACTICE)</dc:creator>
  <cp:keywords/>
  <dc:description/>
  <cp:lastModifiedBy>COHEN, Kenyetta (NHS WEST YORKSHIRE ICB - 15F)</cp:lastModifiedBy>
  <cp:revision>10</cp:revision>
  <dcterms:created xsi:type="dcterms:W3CDTF">2022-05-26T08:31:00Z</dcterms:created>
  <dcterms:modified xsi:type="dcterms:W3CDTF">2022-08-09T15:28:00Z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0x0101004786571EC67EDE44985E6D0CC3B0BDA9</vt:lpwstr>
  </property>
  <property fmtid="{D5CDD505-2E9C-101B-9397-08002B2CF9AE}" pid="3" name="MediaServiceImageTags">
    <vt:lpwstr/>
  </property>
</Properties>
</file>