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26DA" w14:textId="77777777" w:rsidR="003E3893" w:rsidRDefault="003E3893" w:rsidP="00180BC1">
      <w:pPr>
        <w:pStyle w:val="Title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811060">
        <w:rPr>
          <w:b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6840CC" wp14:editId="1E3C7E51">
                <wp:simplePos x="0" y="0"/>
                <wp:positionH relativeFrom="margin">
                  <wp:posOffset>1844040</wp:posOffset>
                </wp:positionH>
                <wp:positionV relativeFrom="paragraph">
                  <wp:posOffset>274320</wp:posOffset>
                </wp:positionV>
                <wp:extent cx="1813560" cy="297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97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2AE1F" w14:textId="77777777" w:rsidR="003E3893" w:rsidRPr="003E3893" w:rsidRDefault="003E3893" w:rsidP="003E38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89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One Minute Guide</w:t>
                            </w:r>
                          </w:p>
                          <w:p w14:paraId="353EA1C5" w14:textId="77777777" w:rsidR="003E3893" w:rsidRPr="003E3893" w:rsidRDefault="003E3893" w:rsidP="003E389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7684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2pt;margin-top:21.6pt;width:142.8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" fillcolor="#0070c0" stroked="f">
                <v:textbox>
                  <w:txbxContent>
                    <w:p w14:paraId="0AE2AE1F" w14:textId="77777777" w:rsidR="003E3893" w:rsidRPr="003E3893" w:rsidRDefault="003E3893" w:rsidP="003E389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89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One Minute Guide</w:t>
                      </w:r>
                    </w:p>
                    <w:p w14:paraId="353EA1C5" w14:textId="77777777" w:rsidR="003E3893" w:rsidRPr="003E3893" w:rsidRDefault="003E3893" w:rsidP="003E3893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C1">
        <w:br/>
      </w:r>
    </w:p>
    <w:p w14:paraId="204EAAEC" w14:textId="77777777" w:rsidR="003E3893" w:rsidRDefault="003E3893" w:rsidP="00180BC1">
      <w:pPr>
        <w:pStyle w:val="Title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1818DD2B" w14:textId="77777777" w:rsidR="00041C6F" w:rsidRDefault="00041C6F" w:rsidP="00180BC1">
      <w:pPr>
        <w:pStyle w:val="Title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</w:p>
    <w:p w14:paraId="387AA289" w14:textId="77B93AFC" w:rsidR="00291287" w:rsidRPr="003E3893" w:rsidRDefault="00A707E5" w:rsidP="00180BC1">
      <w:pPr>
        <w:pStyle w:val="Title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3E3893">
        <w:rPr>
          <w:rFonts w:asciiTheme="minorHAnsi" w:hAnsiTheme="minorHAnsi" w:cstheme="minorHAnsi"/>
          <w:b/>
          <w:bCs/>
          <w:color w:val="0070C0"/>
          <w:sz w:val="32"/>
          <w:szCs w:val="32"/>
        </w:rPr>
        <w:t>Engagement with Culturally Diverse Communities Guidance</w:t>
      </w:r>
    </w:p>
    <w:p w14:paraId="0D52E9F3" w14:textId="77777777" w:rsidR="00D04C1C" w:rsidRDefault="00D04C1C" w:rsidP="00A707E5"/>
    <w:p w14:paraId="4890C007" w14:textId="0807F691" w:rsidR="00827BD6" w:rsidRPr="003E3893" w:rsidRDefault="00C117EC" w:rsidP="7C938C1A">
      <w:pPr>
        <w:jc w:val="both"/>
        <w:rPr>
          <w:sz w:val="24"/>
          <w:szCs w:val="24"/>
        </w:rPr>
      </w:pPr>
      <w:r w:rsidRPr="003E3893">
        <w:rPr>
          <w:sz w:val="24"/>
          <w:szCs w:val="24"/>
        </w:rPr>
        <w:t>In October 2021 the</w:t>
      </w:r>
      <w:r w:rsidR="00D04C1C" w:rsidRPr="003E3893">
        <w:rPr>
          <w:sz w:val="24"/>
          <w:szCs w:val="24"/>
        </w:rPr>
        <w:t xml:space="preserve"> Cancer and Culturally Diverse Co</w:t>
      </w:r>
      <w:r w:rsidRPr="003E3893">
        <w:rPr>
          <w:sz w:val="24"/>
          <w:szCs w:val="24"/>
        </w:rPr>
        <w:t xml:space="preserve">mmunities (CDC) sub-group </w:t>
      </w:r>
      <w:r w:rsidR="00D04C1C" w:rsidRPr="003E3893">
        <w:rPr>
          <w:sz w:val="24"/>
          <w:szCs w:val="24"/>
        </w:rPr>
        <w:t>recognised that guidance on engagement with CDC</w:t>
      </w:r>
      <w:r w:rsidR="00827BD6" w:rsidRPr="003E3893">
        <w:rPr>
          <w:sz w:val="24"/>
          <w:szCs w:val="24"/>
        </w:rPr>
        <w:t>s</w:t>
      </w:r>
      <w:r w:rsidR="00D04C1C" w:rsidRPr="003E3893">
        <w:rPr>
          <w:sz w:val="24"/>
          <w:szCs w:val="24"/>
        </w:rPr>
        <w:t xml:space="preserve"> around cancer wou</w:t>
      </w:r>
      <w:r w:rsidR="00827BD6" w:rsidRPr="003E3893">
        <w:rPr>
          <w:sz w:val="24"/>
          <w:szCs w:val="24"/>
        </w:rPr>
        <w:t>ld help</w:t>
      </w:r>
      <w:r w:rsidR="005C019D" w:rsidRPr="003E3893">
        <w:rPr>
          <w:sz w:val="24"/>
          <w:szCs w:val="24"/>
        </w:rPr>
        <w:t xml:space="preserve"> increase </w:t>
      </w:r>
      <w:r w:rsidR="006A636F">
        <w:rPr>
          <w:sz w:val="24"/>
          <w:szCs w:val="24"/>
        </w:rPr>
        <w:t>participation in</w:t>
      </w:r>
      <w:r w:rsidR="005C019D" w:rsidRPr="003E3893">
        <w:rPr>
          <w:sz w:val="24"/>
          <w:szCs w:val="24"/>
        </w:rPr>
        <w:t xml:space="preserve"> the national</w:t>
      </w:r>
      <w:r w:rsidR="000F4B8E" w:rsidRPr="003E3893">
        <w:rPr>
          <w:sz w:val="24"/>
          <w:szCs w:val="24"/>
        </w:rPr>
        <w:t xml:space="preserve"> cancer screening</w:t>
      </w:r>
      <w:r w:rsidR="005C019D" w:rsidRPr="003E3893">
        <w:rPr>
          <w:sz w:val="24"/>
          <w:szCs w:val="24"/>
        </w:rPr>
        <w:t xml:space="preserve"> programmes</w:t>
      </w:r>
      <w:r w:rsidR="000F4B8E" w:rsidRPr="003E3893">
        <w:rPr>
          <w:sz w:val="24"/>
          <w:szCs w:val="24"/>
        </w:rPr>
        <w:t>.</w:t>
      </w:r>
      <w:r w:rsidR="00D04C1C" w:rsidRPr="003E3893">
        <w:rPr>
          <w:sz w:val="24"/>
          <w:szCs w:val="24"/>
        </w:rPr>
        <w:t xml:space="preserve"> </w:t>
      </w:r>
      <w:r w:rsidR="007F036A" w:rsidRPr="003E3893">
        <w:rPr>
          <w:sz w:val="24"/>
          <w:szCs w:val="24"/>
        </w:rPr>
        <w:t xml:space="preserve">The guidance would support </w:t>
      </w:r>
      <w:r w:rsidR="005C019D" w:rsidRPr="003E3893">
        <w:rPr>
          <w:sz w:val="24"/>
          <w:szCs w:val="24"/>
        </w:rPr>
        <w:t>existing</w:t>
      </w:r>
      <w:r w:rsidR="007F036A" w:rsidRPr="003E3893">
        <w:rPr>
          <w:sz w:val="24"/>
          <w:szCs w:val="24"/>
        </w:rPr>
        <w:t xml:space="preserve"> efforts</w:t>
      </w:r>
      <w:r w:rsidR="000121A4" w:rsidRPr="003E3893">
        <w:rPr>
          <w:sz w:val="24"/>
          <w:szCs w:val="24"/>
        </w:rPr>
        <w:t xml:space="preserve"> currently made</w:t>
      </w:r>
      <w:r w:rsidR="005C019D" w:rsidRPr="003E3893">
        <w:rPr>
          <w:sz w:val="24"/>
          <w:szCs w:val="24"/>
        </w:rPr>
        <w:t xml:space="preserve"> through the cancer screening champions, Cancer Wise Leeds and Leeds Cancer Awareness service</w:t>
      </w:r>
      <w:r w:rsidR="007F036A" w:rsidRPr="003E3893">
        <w:rPr>
          <w:sz w:val="24"/>
          <w:szCs w:val="24"/>
        </w:rPr>
        <w:t xml:space="preserve"> to </w:t>
      </w:r>
      <w:r w:rsidR="005C019D" w:rsidRPr="003E3893">
        <w:rPr>
          <w:sz w:val="24"/>
          <w:szCs w:val="24"/>
        </w:rPr>
        <w:t xml:space="preserve">sensitively engage and educate CDCs around the benefits of </w:t>
      </w:r>
      <w:r w:rsidR="000121A4" w:rsidRPr="003E3893">
        <w:rPr>
          <w:sz w:val="24"/>
          <w:szCs w:val="24"/>
        </w:rPr>
        <w:t>cancer screening programmes.</w:t>
      </w:r>
    </w:p>
    <w:p w14:paraId="3DBE047A" w14:textId="5A35D6CA" w:rsidR="000121A4" w:rsidRPr="003E3893" w:rsidRDefault="00FC2AF1" w:rsidP="7C938C1A">
      <w:pPr>
        <w:jc w:val="both"/>
        <w:rPr>
          <w:sz w:val="24"/>
          <w:szCs w:val="24"/>
        </w:rPr>
      </w:pPr>
      <w:r w:rsidRPr="003E3893">
        <w:rPr>
          <w:sz w:val="24"/>
          <w:szCs w:val="24"/>
        </w:rPr>
        <w:t>W</w:t>
      </w:r>
      <w:r w:rsidR="00DC5FC0" w:rsidRPr="003E3893">
        <w:rPr>
          <w:sz w:val="24"/>
          <w:szCs w:val="24"/>
        </w:rPr>
        <w:t>hen developing resources, services, campaigns, interventions</w:t>
      </w:r>
      <w:r w:rsidR="00D04C1C" w:rsidRPr="003E3893">
        <w:rPr>
          <w:sz w:val="24"/>
          <w:szCs w:val="24"/>
        </w:rPr>
        <w:t xml:space="preserve"> etc.</w:t>
      </w:r>
      <w:r w:rsidR="00DC5FC0" w:rsidRPr="003E3893">
        <w:rPr>
          <w:sz w:val="24"/>
          <w:szCs w:val="24"/>
        </w:rPr>
        <w:t xml:space="preserve"> for the culturally diverse communities it is important to specifically outline </w:t>
      </w:r>
      <w:r w:rsidR="006D1FE9" w:rsidRPr="003E3893">
        <w:rPr>
          <w:sz w:val="24"/>
          <w:szCs w:val="24"/>
        </w:rPr>
        <w:t>the</w:t>
      </w:r>
      <w:r w:rsidR="00DC5FC0" w:rsidRPr="003E3893">
        <w:rPr>
          <w:sz w:val="24"/>
          <w:szCs w:val="24"/>
        </w:rPr>
        <w:t xml:space="preserve"> target group.</w:t>
      </w:r>
      <w:r w:rsidR="006D1FE9" w:rsidRPr="003E3893">
        <w:rPr>
          <w:sz w:val="24"/>
          <w:szCs w:val="24"/>
        </w:rPr>
        <w:t xml:space="preserve"> </w:t>
      </w:r>
      <w:r w:rsidR="006D5B67" w:rsidRPr="003E3893">
        <w:rPr>
          <w:sz w:val="24"/>
          <w:szCs w:val="24"/>
        </w:rPr>
        <w:t xml:space="preserve">A </w:t>
      </w:r>
      <w:r w:rsidR="000121A4" w:rsidRPr="003E3893">
        <w:rPr>
          <w:sz w:val="24"/>
          <w:szCs w:val="24"/>
        </w:rPr>
        <w:t>broad c</w:t>
      </w:r>
      <w:r w:rsidR="006D5B67" w:rsidRPr="003E3893">
        <w:rPr>
          <w:sz w:val="24"/>
          <w:szCs w:val="24"/>
        </w:rPr>
        <w:t xml:space="preserve">ulturally </w:t>
      </w:r>
      <w:r w:rsidR="000121A4" w:rsidRPr="003E3893">
        <w:rPr>
          <w:sz w:val="24"/>
          <w:szCs w:val="24"/>
        </w:rPr>
        <w:t>d</w:t>
      </w:r>
      <w:r w:rsidR="006D5B67" w:rsidRPr="003E3893">
        <w:rPr>
          <w:sz w:val="24"/>
          <w:szCs w:val="24"/>
        </w:rPr>
        <w:t xml:space="preserve">iverse </w:t>
      </w:r>
      <w:r w:rsidR="000121A4" w:rsidRPr="003E3893">
        <w:rPr>
          <w:sz w:val="24"/>
          <w:szCs w:val="24"/>
        </w:rPr>
        <w:t>c</w:t>
      </w:r>
      <w:r w:rsidR="006D5B67" w:rsidRPr="003E3893">
        <w:rPr>
          <w:sz w:val="24"/>
          <w:szCs w:val="24"/>
        </w:rPr>
        <w:t>ommunities workplan is</w:t>
      </w:r>
      <w:r w:rsidR="000121A4" w:rsidRPr="003E3893">
        <w:rPr>
          <w:sz w:val="24"/>
          <w:szCs w:val="24"/>
        </w:rPr>
        <w:t xml:space="preserve"> not </w:t>
      </w:r>
      <w:r w:rsidRPr="003E3893">
        <w:rPr>
          <w:sz w:val="24"/>
          <w:szCs w:val="24"/>
        </w:rPr>
        <w:t>recommended</w:t>
      </w:r>
      <w:r w:rsidR="006D5B67" w:rsidRPr="003E3893">
        <w:rPr>
          <w:sz w:val="24"/>
          <w:szCs w:val="24"/>
        </w:rPr>
        <w:t xml:space="preserve"> </w:t>
      </w:r>
      <w:r w:rsidR="000121A4" w:rsidRPr="003E3893">
        <w:rPr>
          <w:sz w:val="24"/>
          <w:szCs w:val="24"/>
        </w:rPr>
        <w:t>as</w:t>
      </w:r>
      <w:r w:rsidR="006D5B67" w:rsidRPr="003E3893">
        <w:rPr>
          <w:sz w:val="24"/>
          <w:szCs w:val="24"/>
        </w:rPr>
        <w:t xml:space="preserve"> each individual community has its own strengths</w:t>
      </w:r>
      <w:r w:rsidR="00FF7322" w:rsidRPr="003E3893">
        <w:rPr>
          <w:sz w:val="24"/>
          <w:szCs w:val="24"/>
        </w:rPr>
        <w:t>, weaknesses</w:t>
      </w:r>
      <w:r w:rsidR="006D5B67" w:rsidRPr="003E3893">
        <w:rPr>
          <w:sz w:val="24"/>
          <w:szCs w:val="24"/>
        </w:rPr>
        <w:t xml:space="preserve"> and challenges </w:t>
      </w:r>
      <w:r w:rsidR="000F4B8E" w:rsidRPr="003E3893">
        <w:rPr>
          <w:sz w:val="24"/>
          <w:szCs w:val="24"/>
        </w:rPr>
        <w:t>that</w:t>
      </w:r>
      <w:r w:rsidR="006D5B67" w:rsidRPr="003E3893">
        <w:rPr>
          <w:sz w:val="24"/>
          <w:szCs w:val="24"/>
        </w:rPr>
        <w:t xml:space="preserve"> need to be considered. </w:t>
      </w:r>
      <w:r w:rsidR="00FF7322" w:rsidRPr="003E3893">
        <w:rPr>
          <w:sz w:val="24"/>
          <w:szCs w:val="24"/>
        </w:rPr>
        <w:t xml:space="preserve">A targeted approach </w:t>
      </w:r>
      <w:r w:rsidR="000121A4" w:rsidRPr="003E3893">
        <w:rPr>
          <w:sz w:val="24"/>
          <w:szCs w:val="24"/>
        </w:rPr>
        <w:t xml:space="preserve">which includes a </w:t>
      </w:r>
      <w:r w:rsidR="00371569" w:rsidRPr="003E3893">
        <w:rPr>
          <w:sz w:val="24"/>
          <w:szCs w:val="24"/>
        </w:rPr>
        <w:t xml:space="preserve">clear </w:t>
      </w:r>
      <w:r w:rsidR="006D5B67" w:rsidRPr="003E3893">
        <w:rPr>
          <w:sz w:val="24"/>
          <w:szCs w:val="24"/>
        </w:rPr>
        <w:t xml:space="preserve">communication and engagement plan </w:t>
      </w:r>
      <w:r w:rsidR="00FF7322" w:rsidRPr="003E3893">
        <w:rPr>
          <w:sz w:val="24"/>
          <w:szCs w:val="24"/>
        </w:rPr>
        <w:t>specific to</w:t>
      </w:r>
      <w:r w:rsidR="006D5B67" w:rsidRPr="003E3893">
        <w:rPr>
          <w:sz w:val="24"/>
          <w:szCs w:val="24"/>
        </w:rPr>
        <w:t xml:space="preserve"> </w:t>
      </w:r>
      <w:r w:rsidR="0071750D" w:rsidRPr="003E3893">
        <w:rPr>
          <w:sz w:val="24"/>
          <w:szCs w:val="24"/>
        </w:rPr>
        <w:t>the</w:t>
      </w:r>
      <w:r w:rsidR="00371569" w:rsidRPr="003E3893">
        <w:rPr>
          <w:sz w:val="24"/>
          <w:szCs w:val="24"/>
        </w:rPr>
        <w:t xml:space="preserve"> needs of</w:t>
      </w:r>
      <w:r w:rsidR="0071750D" w:rsidRPr="003E3893">
        <w:rPr>
          <w:sz w:val="24"/>
          <w:szCs w:val="24"/>
        </w:rPr>
        <w:t xml:space="preserve"> </w:t>
      </w:r>
      <w:r w:rsidR="000121A4" w:rsidRPr="003E3893">
        <w:rPr>
          <w:sz w:val="24"/>
          <w:szCs w:val="24"/>
        </w:rPr>
        <w:t xml:space="preserve">community </w:t>
      </w:r>
      <w:r w:rsidR="00371569" w:rsidRPr="003E3893">
        <w:rPr>
          <w:sz w:val="24"/>
          <w:szCs w:val="24"/>
        </w:rPr>
        <w:t>must become a</w:t>
      </w:r>
      <w:r w:rsidR="000121A4" w:rsidRPr="003E3893">
        <w:rPr>
          <w:sz w:val="24"/>
          <w:szCs w:val="24"/>
        </w:rPr>
        <w:t xml:space="preserve"> common practice across health and care partners.</w:t>
      </w:r>
      <w:r w:rsidR="0071750D" w:rsidRPr="003E3893">
        <w:rPr>
          <w:sz w:val="24"/>
          <w:szCs w:val="24"/>
        </w:rPr>
        <w:t xml:space="preserve"> </w:t>
      </w:r>
    </w:p>
    <w:p w14:paraId="76A8C578" w14:textId="2D85A353" w:rsidR="0071750D" w:rsidRPr="003E3893" w:rsidRDefault="0071750D" w:rsidP="7C938C1A">
      <w:pPr>
        <w:jc w:val="both"/>
        <w:rPr>
          <w:sz w:val="24"/>
          <w:szCs w:val="24"/>
        </w:rPr>
      </w:pPr>
      <w:r w:rsidRPr="003E3893">
        <w:rPr>
          <w:sz w:val="24"/>
          <w:szCs w:val="24"/>
        </w:rPr>
        <w:t xml:space="preserve">Robust planning which considers </w:t>
      </w:r>
      <w:r w:rsidR="000121A4" w:rsidRPr="003E3893">
        <w:rPr>
          <w:sz w:val="24"/>
          <w:szCs w:val="24"/>
        </w:rPr>
        <w:t xml:space="preserve">the </w:t>
      </w:r>
      <w:r w:rsidRPr="003E3893">
        <w:rPr>
          <w:sz w:val="24"/>
          <w:szCs w:val="24"/>
        </w:rPr>
        <w:t xml:space="preserve">checklist in </w:t>
      </w:r>
      <w:r w:rsidR="00CA32CA" w:rsidRPr="003E3893">
        <w:rPr>
          <w:sz w:val="24"/>
          <w:szCs w:val="24"/>
        </w:rPr>
        <w:t>the table below</w:t>
      </w:r>
      <w:r w:rsidRPr="003E3893">
        <w:rPr>
          <w:sz w:val="24"/>
          <w:szCs w:val="24"/>
        </w:rPr>
        <w:t xml:space="preserve"> as well </w:t>
      </w:r>
      <w:r w:rsidR="007402E0">
        <w:rPr>
          <w:sz w:val="24"/>
          <w:szCs w:val="24"/>
        </w:rPr>
        <w:t xml:space="preserve">as </w:t>
      </w:r>
      <w:r w:rsidR="008F4B83" w:rsidRPr="003E3893">
        <w:rPr>
          <w:sz w:val="24"/>
          <w:szCs w:val="24"/>
        </w:rPr>
        <w:t>appropriately</w:t>
      </w:r>
      <w:r w:rsidRPr="003E3893">
        <w:rPr>
          <w:sz w:val="24"/>
          <w:szCs w:val="24"/>
        </w:rPr>
        <w:t xml:space="preserve"> allocati</w:t>
      </w:r>
      <w:r w:rsidR="008F4B83" w:rsidRPr="003E3893">
        <w:rPr>
          <w:sz w:val="24"/>
          <w:szCs w:val="24"/>
        </w:rPr>
        <w:t>ng resources</w:t>
      </w:r>
      <w:r w:rsidRPr="003E3893">
        <w:rPr>
          <w:sz w:val="24"/>
          <w:szCs w:val="24"/>
        </w:rPr>
        <w:t xml:space="preserve"> could </w:t>
      </w:r>
      <w:r w:rsidR="000121A4" w:rsidRPr="003E3893">
        <w:rPr>
          <w:sz w:val="24"/>
          <w:szCs w:val="24"/>
        </w:rPr>
        <w:t>improve the</w:t>
      </w:r>
      <w:r w:rsidRPr="003E3893">
        <w:rPr>
          <w:sz w:val="24"/>
          <w:szCs w:val="24"/>
        </w:rPr>
        <w:t xml:space="preserve"> outcomes of projects </w:t>
      </w:r>
      <w:r w:rsidR="00371569" w:rsidRPr="003E3893">
        <w:rPr>
          <w:sz w:val="24"/>
          <w:szCs w:val="24"/>
        </w:rPr>
        <w:t xml:space="preserve">that are </w:t>
      </w:r>
      <w:r w:rsidRPr="003E3893">
        <w:rPr>
          <w:sz w:val="24"/>
          <w:szCs w:val="24"/>
        </w:rPr>
        <w:t>targeted at culturally diverse communities.</w:t>
      </w:r>
    </w:p>
    <w:p w14:paraId="53BA2607" w14:textId="4C753072" w:rsidR="00A707E5" w:rsidRDefault="00C117EC" w:rsidP="00A707E5">
      <w:r w:rsidRPr="003E3893">
        <w:rPr>
          <w:b/>
          <w:bCs/>
          <w:color w:val="0070C0"/>
          <w:sz w:val="28"/>
          <w:szCs w:val="28"/>
        </w:rPr>
        <w:t>Recommendations</w:t>
      </w:r>
      <w:r w:rsidR="0071750D" w:rsidRPr="003E3893">
        <w:rPr>
          <w:color w:val="0070C0"/>
          <w:sz w:val="28"/>
          <w:szCs w:val="28"/>
        </w:rPr>
        <w:t xml:space="preserve"> </w:t>
      </w:r>
      <w:r w:rsidR="0071750D" w:rsidRPr="003E3893">
        <w:rPr>
          <w:sz w:val="24"/>
          <w:szCs w:val="24"/>
        </w:rPr>
        <w:t xml:space="preserve">to consider at </w:t>
      </w:r>
      <w:r w:rsidR="00CA32CA" w:rsidRPr="003E3893">
        <w:rPr>
          <w:sz w:val="24"/>
          <w:szCs w:val="24"/>
        </w:rPr>
        <w:t xml:space="preserve">the </w:t>
      </w:r>
      <w:r w:rsidR="0071750D" w:rsidRPr="003E3893">
        <w:rPr>
          <w:sz w:val="24"/>
          <w:szCs w:val="24"/>
        </w:rPr>
        <w:t>planning phase of project</w:t>
      </w:r>
      <w:r w:rsidR="00CA32CA" w:rsidRPr="003E3893">
        <w:rPr>
          <w:sz w:val="24"/>
          <w:szCs w:val="24"/>
        </w:rPr>
        <w:t>:</w:t>
      </w:r>
      <w:r w:rsidR="00E21964">
        <w:br/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5477"/>
      </w:tblGrid>
      <w:tr w:rsidR="008F4B83" w14:paraId="0CAD20DF" w14:textId="77777777" w:rsidTr="4CA5EE92">
        <w:trPr>
          <w:trHeight w:val="480"/>
        </w:trPr>
        <w:tc>
          <w:tcPr>
            <w:tcW w:w="421" w:type="dxa"/>
            <w:shd w:val="clear" w:color="auto" w:fill="0070C0"/>
          </w:tcPr>
          <w:p w14:paraId="69EE1A65" w14:textId="77777777" w:rsidR="008F4B83" w:rsidRPr="00180BC1" w:rsidRDefault="008F4B83" w:rsidP="008F4B83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0070C0"/>
          </w:tcPr>
          <w:p w14:paraId="535E91BD" w14:textId="1A19C6D8" w:rsidR="008F4B83" w:rsidRPr="00180BC1" w:rsidRDefault="008F4B83" w:rsidP="008F4B83">
            <w:pPr>
              <w:jc w:val="center"/>
              <w:rPr>
                <w:b/>
                <w:bCs/>
                <w:color w:val="FFFFFF" w:themeColor="background1"/>
              </w:rPr>
            </w:pPr>
            <w:r w:rsidRPr="00180BC1">
              <w:rPr>
                <w:b/>
                <w:bCs/>
                <w:color w:val="FFFFFF" w:themeColor="background1"/>
              </w:rPr>
              <w:t>Points to consider</w:t>
            </w:r>
          </w:p>
        </w:tc>
        <w:tc>
          <w:tcPr>
            <w:tcW w:w="5477" w:type="dxa"/>
            <w:shd w:val="clear" w:color="auto" w:fill="0070C0"/>
          </w:tcPr>
          <w:p w14:paraId="6E09E543" w14:textId="021A94D0" w:rsidR="008F4B83" w:rsidRPr="00180BC1" w:rsidRDefault="008F4B83" w:rsidP="008F4B83">
            <w:pPr>
              <w:jc w:val="center"/>
              <w:rPr>
                <w:b/>
                <w:bCs/>
                <w:color w:val="FFFFFF" w:themeColor="background1"/>
              </w:rPr>
            </w:pPr>
            <w:r w:rsidRPr="00180BC1">
              <w:rPr>
                <w:b/>
                <w:bCs/>
                <w:color w:val="FFFFFF" w:themeColor="background1"/>
              </w:rPr>
              <w:t>Additional info</w:t>
            </w:r>
          </w:p>
        </w:tc>
      </w:tr>
      <w:tr w:rsidR="008F4B83" w14:paraId="5BCBDF05" w14:textId="77777777" w:rsidTr="00041C6F">
        <w:tc>
          <w:tcPr>
            <w:tcW w:w="421" w:type="dxa"/>
            <w:tcBorders>
              <w:bottom w:val="single" w:sz="4" w:space="0" w:color="auto"/>
            </w:tcBorders>
          </w:tcPr>
          <w:p w14:paraId="79C0A794" w14:textId="30722843" w:rsidR="008F4B83" w:rsidRDefault="008F4B83" w:rsidP="00216F1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2F21A56" w14:textId="449A8C50" w:rsidR="008F4B83" w:rsidRPr="00E21964" w:rsidRDefault="00FC2AF1" w:rsidP="008F4B83">
            <w:pPr>
              <w:rPr>
                <w:b/>
                <w:bCs/>
              </w:rPr>
            </w:pPr>
            <w:r w:rsidRPr="00E21964">
              <w:rPr>
                <w:b/>
                <w:bCs/>
              </w:rPr>
              <w:t>Identify your target audience and s</w:t>
            </w:r>
            <w:r w:rsidR="008F4B83" w:rsidRPr="00E21964">
              <w:rPr>
                <w:b/>
                <w:bCs/>
              </w:rPr>
              <w:t>pend considerable time in planning phase</w:t>
            </w:r>
            <w:r w:rsidR="00832032" w:rsidRPr="00E21964">
              <w:rPr>
                <w:b/>
                <w:bCs/>
              </w:rPr>
              <w:t>.</w:t>
            </w:r>
          </w:p>
          <w:p w14:paraId="68D2C348" w14:textId="77777777" w:rsidR="008F4B83" w:rsidRPr="00E21964" w:rsidRDefault="008F4B83" w:rsidP="00A707E5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789A8ACD" w14:textId="131AC34B" w:rsidR="008F4B83" w:rsidRDefault="000A65DB" w:rsidP="00E21964">
            <w:pPr>
              <w:pStyle w:val="ListParagraph"/>
              <w:numPr>
                <w:ilvl w:val="0"/>
                <w:numId w:val="7"/>
              </w:numPr>
            </w:pPr>
            <w:r>
              <w:t xml:space="preserve">Specify your audience and avoid targeting all communities through the same method of delivery. </w:t>
            </w:r>
          </w:p>
        </w:tc>
      </w:tr>
      <w:tr w:rsidR="008F4B83" w14:paraId="567A2059" w14:textId="77777777" w:rsidTr="00041C6F">
        <w:tc>
          <w:tcPr>
            <w:tcW w:w="421" w:type="dxa"/>
            <w:tcBorders>
              <w:bottom w:val="nil"/>
            </w:tcBorders>
          </w:tcPr>
          <w:p w14:paraId="6534F7A3" w14:textId="3018D263" w:rsidR="008F4B83" w:rsidRDefault="008F4B83" w:rsidP="00216F1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tcBorders>
              <w:bottom w:val="nil"/>
            </w:tcBorders>
          </w:tcPr>
          <w:p w14:paraId="2637E694" w14:textId="19BEAD6C" w:rsidR="008F4B83" w:rsidRPr="00E21964" w:rsidRDefault="008F4B83" w:rsidP="008F4B83">
            <w:pPr>
              <w:rPr>
                <w:b/>
                <w:bCs/>
              </w:rPr>
            </w:pPr>
            <w:r w:rsidRPr="00E21964">
              <w:rPr>
                <w:b/>
                <w:bCs/>
              </w:rPr>
              <w:t>Produce a community specific engagement and communications plan to avoid ‘one size fits all’ model</w:t>
            </w:r>
            <w:r w:rsidR="00216F1E" w:rsidRPr="00E21964">
              <w:rPr>
                <w:b/>
                <w:bCs/>
              </w:rPr>
              <w:t>.</w:t>
            </w:r>
          </w:p>
          <w:p w14:paraId="3C0D1FE0" w14:textId="77777777" w:rsidR="008F4B83" w:rsidRPr="00E21964" w:rsidRDefault="008F4B83" w:rsidP="008F4B83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bottom w:val="nil"/>
            </w:tcBorders>
          </w:tcPr>
          <w:p w14:paraId="705B6D14" w14:textId="348ADE23" w:rsidR="008F4B83" w:rsidRDefault="575FD31A" w:rsidP="00E21964">
            <w:pPr>
              <w:pStyle w:val="ListParagraph"/>
              <w:numPr>
                <w:ilvl w:val="0"/>
                <w:numId w:val="7"/>
              </w:numPr>
            </w:pPr>
            <w:r>
              <w:t>C</w:t>
            </w:r>
            <w:r w:rsidR="38A7852D">
              <w:t>ommunications and engagement plan</w:t>
            </w:r>
            <w:r w:rsidR="6EC0FAB0">
              <w:t xml:space="preserve"> must be reflected with views from the targeted community</w:t>
            </w:r>
            <w:r w:rsidR="38A7852D">
              <w:t>.</w:t>
            </w:r>
          </w:p>
          <w:p w14:paraId="7850D926" w14:textId="0F850B15" w:rsidR="00216F1E" w:rsidRDefault="6EC0FAB0" w:rsidP="00E21964">
            <w:pPr>
              <w:pStyle w:val="ListParagraph"/>
              <w:numPr>
                <w:ilvl w:val="0"/>
                <w:numId w:val="7"/>
              </w:numPr>
            </w:pPr>
            <w:r>
              <w:t>Use expertise from communication</w:t>
            </w:r>
            <w:r w:rsidR="007402E0">
              <w:t xml:space="preserve"> </w:t>
            </w:r>
            <w:r>
              <w:t>leads to further develop the plan</w:t>
            </w:r>
          </w:p>
          <w:p w14:paraId="5E8CB149" w14:textId="7C11E106" w:rsidR="00135683" w:rsidRDefault="00135683" w:rsidP="00E21964">
            <w:pPr>
              <w:pStyle w:val="ListParagraph"/>
              <w:numPr>
                <w:ilvl w:val="0"/>
                <w:numId w:val="7"/>
              </w:numPr>
            </w:pPr>
            <w:r>
              <w:t xml:space="preserve">Engage with the </w:t>
            </w:r>
            <w:r w:rsidR="006A636F">
              <w:t xml:space="preserve">voluntary, community and faith </w:t>
            </w:r>
            <w:r>
              <w:t>sector to gather insight into the specific community</w:t>
            </w:r>
            <w:r w:rsidR="004618B9">
              <w:t>.</w:t>
            </w:r>
          </w:p>
        </w:tc>
      </w:tr>
      <w:tr w:rsidR="008F4B83" w14:paraId="793ED62A" w14:textId="77777777" w:rsidTr="00041C6F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14:paraId="5B3A7CB9" w14:textId="750FC6E9" w:rsidR="008F4B83" w:rsidRDefault="008F4B83" w:rsidP="00216F1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7AAB08EF" w14:textId="04C2E1E0" w:rsidR="008F4B83" w:rsidRPr="00E21964" w:rsidRDefault="008F4B83" w:rsidP="008F4B83">
            <w:pPr>
              <w:rPr>
                <w:b/>
                <w:bCs/>
              </w:rPr>
            </w:pPr>
            <w:r w:rsidRPr="00E21964">
              <w:rPr>
                <w:b/>
                <w:bCs/>
              </w:rPr>
              <w:t>Use of community connectors from targeted communities</w:t>
            </w:r>
            <w:r w:rsidR="000A65DB" w:rsidRPr="00E21964">
              <w:rPr>
                <w:b/>
                <w:bCs/>
              </w:rPr>
              <w:t>.</w:t>
            </w:r>
          </w:p>
          <w:p w14:paraId="6DCF9FDE" w14:textId="77777777" w:rsidR="008F4B83" w:rsidRPr="00E21964" w:rsidRDefault="008F4B83" w:rsidP="008F4B83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top w:val="nil"/>
              <w:bottom w:val="single" w:sz="4" w:space="0" w:color="auto"/>
            </w:tcBorders>
          </w:tcPr>
          <w:p w14:paraId="5134FF9C" w14:textId="628800FA" w:rsidR="008F4B83" w:rsidRDefault="005B5C1A" w:rsidP="00E21964">
            <w:pPr>
              <w:pStyle w:val="ListParagraph"/>
              <w:numPr>
                <w:ilvl w:val="0"/>
                <w:numId w:val="7"/>
              </w:numPr>
            </w:pPr>
            <w:r>
              <w:t>Consider using t</w:t>
            </w:r>
            <w:r w:rsidR="00135683">
              <w:t>rusted members of the community</w:t>
            </w:r>
            <w:r>
              <w:t xml:space="preserve"> to plan and develop the project. Use the connectors </w:t>
            </w:r>
            <w:r w:rsidR="000A65DB">
              <w:t xml:space="preserve">to </w:t>
            </w:r>
            <w:r>
              <w:t>build relationships and trust within the community.</w:t>
            </w:r>
          </w:p>
        </w:tc>
      </w:tr>
      <w:tr w:rsidR="008F4B83" w14:paraId="3F5B432C" w14:textId="77777777" w:rsidTr="4CA5EE92">
        <w:tc>
          <w:tcPr>
            <w:tcW w:w="421" w:type="dxa"/>
            <w:tcBorders>
              <w:bottom w:val="single" w:sz="4" w:space="0" w:color="auto"/>
            </w:tcBorders>
          </w:tcPr>
          <w:p w14:paraId="0816F532" w14:textId="0AFC8EB1" w:rsidR="008F4B83" w:rsidRDefault="008F4B83" w:rsidP="00216F1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3C93E07" w14:textId="5E9331E9" w:rsidR="008F4B83" w:rsidRPr="00E21964" w:rsidRDefault="008F4B83" w:rsidP="008F4B83">
            <w:pPr>
              <w:rPr>
                <w:b/>
                <w:bCs/>
              </w:rPr>
            </w:pPr>
            <w:r w:rsidRPr="00E21964">
              <w:rPr>
                <w:b/>
                <w:bCs/>
              </w:rPr>
              <w:t xml:space="preserve">Utilise community </w:t>
            </w:r>
            <w:r w:rsidR="003B42F5" w:rsidRPr="00E21964">
              <w:rPr>
                <w:b/>
                <w:bCs/>
              </w:rPr>
              <w:t xml:space="preserve">assets such </w:t>
            </w:r>
            <w:r w:rsidR="007402E0">
              <w:rPr>
                <w:b/>
                <w:bCs/>
              </w:rPr>
              <w:t xml:space="preserve">as </w:t>
            </w:r>
            <w:r w:rsidRPr="00E21964">
              <w:rPr>
                <w:b/>
                <w:bCs/>
              </w:rPr>
              <w:t>radio stations</w:t>
            </w:r>
            <w:r w:rsidR="003B42F5" w:rsidRPr="00E21964">
              <w:rPr>
                <w:b/>
                <w:bCs/>
              </w:rPr>
              <w:t xml:space="preserve">, </w:t>
            </w:r>
            <w:r w:rsidR="000A65DB" w:rsidRPr="00E21964">
              <w:rPr>
                <w:b/>
                <w:bCs/>
              </w:rPr>
              <w:t xml:space="preserve">community </w:t>
            </w:r>
            <w:r w:rsidR="003B42F5" w:rsidRPr="00E21964">
              <w:rPr>
                <w:b/>
                <w:bCs/>
              </w:rPr>
              <w:t>centres</w:t>
            </w:r>
            <w:r w:rsidR="000A65DB" w:rsidRPr="00E21964">
              <w:rPr>
                <w:b/>
                <w:bCs/>
              </w:rPr>
              <w:t>, places of worships, schools</w:t>
            </w:r>
            <w:r w:rsidR="003B42F5" w:rsidRPr="00E21964">
              <w:rPr>
                <w:b/>
                <w:bCs/>
              </w:rPr>
              <w:t xml:space="preserve"> etc. 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46642D9D" w14:textId="77777777" w:rsidR="000A65DB" w:rsidRDefault="005B5C1A" w:rsidP="00E21964">
            <w:pPr>
              <w:pStyle w:val="ListParagraph"/>
              <w:numPr>
                <w:ilvl w:val="0"/>
                <w:numId w:val="7"/>
              </w:numPr>
            </w:pPr>
            <w:r>
              <w:t xml:space="preserve">Such routes can cascade the messages to </w:t>
            </w:r>
            <w:r w:rsidR="008F68CA">
              <w:t>the wider community</w:t>
            </w:r>
            <w:r>
              <w:t xml:space="preserve">. </w:t>
            </w:r>
          </w:p>
          <w:p w14:paraId="0A5D7B99" w14:textId="28C52C39" w:rsidR="008F4B83" w:rsidRDefault="000A65DB" w:rsidP="00E21964">
            <w:pPr>
              <w:pStyle w:val="ListParagraph"/>
              <w:numPr>
                <w:ilvl w:val="0"/>
                <w:numId w:val="7"/>
              </w:numPr>
            </w:pPr>
            <w:r>
              <w:t>G</w:t>
            </w:r>
            <w:r w:rsidR="005B5C1A">
              <w:t xml:space="preserve">ather insight from the community to understand which channels have a larger reach. </w:t>
            </w:r>
          </w:p>
        </w:tc>
      </w:tr>
      <w:tr w:rsidR="008F4B83" w14:paraId="5F24C958" w14:textId="77777777" w:rsidTr="4CA5EE92">
        <w:tc>
          <w:tcPr>
            <w:tcW w:w="421" w:type="dxa"/>
            <w:tcBorders>
              <w:top w:val="single" w:sz="4" w:space="0" w:color="auto"/>
            </w:tcBorders>
          </w:tcPr>
          <w:p w14:paraId="3AD9D90F" w14:textId="7E46CCD0" w:rsidR="008F4B83" w:rsidRDefault="008F4B83" w:rsidP="00216F1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268E1B3" w14:textId="4DAC1221" w:rsidR="008F4B83" w:rsidRPr="00E21964" w:rsidRDefault="00C77474" w:rsidP="008F4B83">
            <w:pPr>
              <w:rPr>
                <w:b/>
                <w:bCs/>
              </w:rPr>
            </w:pPr>
            <w:r w:rsidRPr="00E21964">
              <w:rPr>
                <w:b/>
                <w:bCs/>
              </w:rPr>
              <w:t xml:space="preserve">Consider using </w:t>
            </w:r>
            <w:r w:rsidR="008F68CA" w:rsidRPr="00E21964">
              <w:rPr>
                <w:b/>
                <w:bCs/>
              </w:rPr>
              <w:t>Digital Ambassadors</w:t>
            </w:r>
            <w:r w:rsidR="004618B9" w:rsidRPr="00E21964">
              <w:rPr>
                <w:b/>
                <w:bCs/>
              </w:rPr>
              <w:t>.</w:t>
            </w:r>
          </w:p>
        </w:tc>
        <w:tc>
          <w:tcPr>
            <w:tcW w:w="5477" w:type="dxa"/>
            <w:tcBorders>
              <w:top w:val="single" w:sz="4" w:space="0" w:color="auto"/>
            </w:tcBorders>
          </w:tcPr>
          <w:p w14:paraId="4BC0EA98" w14:textId="361200C7" w:rsidR="008F68CA" w:rsidRDefault="00C77474" w:rsidP="00E21964">
            <w:pPr>
              <w:pStyle w:val="ListParagraph"/>
              <w:numPr>
                <w:ilvl w:val="0"/>
                <w:numId w:val="7"/>
              </w:numPr>
            </w:pPr>
            <w:r>
              <w:t>Utilise</w:t>
            </w:r>
            <w:r w:rsidR="008F68CA">
              <w:t xml:space="preserve"> active members of communities to cascade messages on their </w:t>
            </w:r>
            <w:r>
              <w:t xml:space="preserve">social media </w:t>
            </w:r>
            <w:r w:rsidR="008F68CA">
              <w:t>platforms.</w:t>
            </w:r>
          </w:p>
          <w:p w14:paraId="3D108216" w14:textId="6BB4A7C9" w:rsidR="008F68CA" w:rsidRDefault="008F68CA" w:rsidP="00E21964">
            <w:pPr>
              <w:pStyle w:val="ListParagraph"/>
              <w:numPr>
                <w:ilvl w:val="0"/>
                <w:numId w:val="7"/>
              </w:numPr>
            </w:pPr>
            <w:r>
              <w:t>Develop social media messages to minimise workload for the ambassadors</w:t>
            </w:r>
            <w:r w:rsidR="00C77474">
              <w:t>.</w:t>
            </w:r>
          </w:p>
          <w:p w14:paraId="1CA77449" w14:textId="662E01E3" w:rsidR="008F4B83" w:rsidRDefault="008F68CA" w:rsidP="00E21964">
            <w:pPr>
              <w:pStyle w:val="ListParagraph"/>
              <w:numPr>
                <w:ilvl w:val="0"/>
                <w:numId w:val="7"/>
              </w:numPr>
            </w:pPr>
            <w:r>
              <w:t>Produce digital content</w:t>
            </w:r>
            <w:r w:rsidR="00C77474">
              <w:t xml:space="preserve"> and allocate budget for social media promotion.</w:t>
            </w:r>
            <w:r>
              <w:tab/>
            </w:r>
          </w:p>
        </w:tc>
      </w:tr>
      <w:tr w:rsidR="008F4B83" w14:paraId="5DAD9640" w14:textId="77777777" w:rsidTr="4CA5EE92">
        <w:tc>
          <w:tcPr>
            <w:tcW w:w="421" w:type="dxa"/>
          </w:tcPr>
          <w:p w14:paraId="3ACB1478" w14:textId="04B074DB" w:rsidR="008F4B83" w:rsidRDefault="008F4B83" w:rsidP="00216F1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2280F2FB" w14:textId="4AC0488C" w:rsidR="008F4B83" w:rsidRPr="00E21964" w:rsidRDefault="00C77474" w:rsidP="008F4B83">
            <w:pPr>
              <w:rPr>
                <w:b/>
                <w:bCs/>
              </w:rPr>
            </w:pPr>
            <w:r w:rsidRPr="00E21964">
              <w:rPr>
                <w:b/>
                <w:bCs/>
              </w:rPr>
              <w:t>Communicate in different l</w:t>
            </w:r>
            <w:r w:rsidR="008F68CA" w:rsidRPr="00E21964">
              <w:rPr>
                <w:b/>
                <w:bCs/>
              </w:rPr>
              <w:t>anguages</w:t>
            </w:r>
            <w:r w:rsidR="004618B9" w:rsidRPr="00E21964">
              <w:rPr>
                <w:b/>
                <w:bCs/>
              </w:rPr>
              <w:t>.</w:t>
            </w:r>
          </w:p>
          <w:p w14:paraId="1BDD22E0" w14:textId="77777777" w:rsidR="008F4B83" w:rsidRPr="00E21964" w:rsidRDefault="008F4B83" w:rsidP="008F4B83">
            <w:pPr>
              <w:rPr>
                <w:b/>
                <w:bCs/>
              </w:rPr>
            </w:pPr>
          </w:p>
        </w:tc>
        <w:tc>
          <w:tcPr>
            <w:tcW w:w="5477" w:type="dxa"/>
          </w:tcPr>
          <w:p w14:paraId="45A1A3AD" w14:textId="77777777" w:rsidR="006A2D7F" w:rsidRDefault="008F68CA" w:rsidP="00E21964">
            <w:pPr>
              <w:pStyle w:val="ListParagraph"/>
              <w:numPr>
                <w:ilvl w:val="0"/>
                <w:numId w:val="7"/>
              </w:numPr>
            </w:pPr>
            <w:r>
              <w:t>Understanding that there may be more than one language spoken within some nationalities.</w:t>
            </w:r>
            <w:r w:rsidR="00BF483F">
              <w:t xml:space="preserve"> </w:t>
            </w:r>
          </w:p>
          <w:p w14:paraId="69BFB855" w14:textId="5B7CB1AC" w:rsidR="008F4B83" w:rsidRDefault="00BF483F" w:rsidP="00E21964">
            <w:pPr>
              <w:pStyle w:val="ListParagraph"/>
              <w:numPr>
                <w:ilvl w:val="0"/>
                <w:numId w:val="7"/>
              </w:numPr>
            </w:pPr>
            <w:r>
              <w:t>Scope out the languages spoken within the target group and reflect this in the comm</w:t>
            </w:r>
            <w:r w:rsidR="006E1A99">
              <w:t>unication</w:t>
            </w:r>
            <w:r>
              <w:t>s and engagement plan.</w:t>
            </w:r>
          </w:p>
          <w:p w14:paraId="0D8FB8B4" w14:textId="2FB208BA" w:rsidR="00C77474" w:rsidRDefault="00C77474" w:rsidP="00E21964">
            <w:pPr>
              <w:pStyle w:val="ListParagraph"/>
              <w:numPr>
                <w:ilvl w:val="0"/>
                <w:numId w:val="7"/>
              </w:numPr>
            </w:pPr>
            <w:r>
              <w:t>Regularly develop easy read materials</w:t>
            </w:r>
            <w:r w:rsidR="004618B9">
              <w:t>.</w:t>
            </w:r>
          </w:p>
        </w:tc>
      </w:tr>
      <w:tr w:rsidR="008F4B83" w14:paraId="4D20EB59" w14:textId="77777777" w:rsidTr="4CA5EE92">
        <w:tc>
          <w:tcPr>
            <w:tcW w:w="421" w:type="dxa"/>
          </w:tcPr>
          <w:p w14:paraId="2B8FA5F0" w14:textId="22F1495F" w:rsidR="008F4B83" w:rsidRDefault="008F4B83" w:rsidP="00216F1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06876E40" w14:textId="4E853629" w:rsidR="008F4B83" w:rsidRPr="00E21964" w:rsidRDefault="00BF483F" w:rsidP="008F4B83">
            <w:pPr>
              <w:rPr>
                <w:b/>
                <w:bCs/>
              </w:rPr>
            </w:pPr>
            <w:r w:rsidRPr="00E21964">
              <w:rPr>
                <w:b/>
                <w:bCs/>
              </w:rPr>
              <w:t>U</w:t>
            </w:r>
            <w:r w:rsidR="008F4B83" w:rsidRPr="00E21964">
              <w:rPr>
                <w:b/>
                <w:bCs/>
              </w:rPr>
              <w:t xml:space="preserve">se of community leaders. </w:t>
            </w:r>
          </w:p>
          <w:p w14:paraId="40DDB2F7" w14:textId="77777777" w:rsidR="008F4B83" w:rsidRPr="00E21964" w:rsidRDefault="008F4B83" w:rsidP="008F4B83">
            <w:pPr>
              <w:rPr>
                <w:b/>
                <w:bCs/>
              </w:rPr>
            </w:pPr>
          </w:p>
        </w:tc>
        <w:tc>
          <w:tcPr>
            <w:tcW w:w="5477" w:type="dxa"/>
          </w:tcPr>
          <w:p w14:paraId="74F545D3" w14:textId="5C0588FB" w:rsidR="006A2D7F" w:rsidRDefault="006A2D7F" w:rsidP="00E21964">
            <w:pPr>
              <w:pStyle w:val="ListParagraph"/>
              <w:numPr>
                <w:ilvl w:val="0"/>
                <w:numId w:val="7"/>
              </w:numPr>
            </w:pPr>
            <w:r>
              <w:t>C</w:t>
            </w:r>
            <w:r w:rsidR="00BF483F">
              <w:t>ommunity leaders provide valuable insight into understanding the targeted population</w:t>
            </w:r>
            <w:r w:rsidR="004618B9">
              <w:t>.</w:t>
            </w:r>
          </w:p>
          <w:p w14:paraId="14279236" w14:textId="0084A179" w:rsidR="008F4B83" w:rsidRDefault="00BF483F" w:rsidP="00E21964">
            <w:pPr>
              <w:pStyle w:val="ListParagraph"/>
              <w:numPr>
                <w:ilvl w:val="0"/>
                <w:numId w:val="7"/>
              </w:numPr>
            </w:pPr>
            <w:r>
              <w:t>Engagement plan should incorporate wider perspectives within the targeted group.</w:t>
            </w:r>
          </w:p>
        </w:tc>
      </w:tr>
      <w:tr w:rsidR="008F4B83" w14:paraId="7ABBAB2A" w14:textId="77777777" w:rsidTr="4CA5EE92">
        <w:tc>
          <w:tcPr>
            <w:tcW w:w="421" w:type="dxa"/>
          </w:tcPr>
          <w:p w14:paraId="34262EF8" w14:textId="756ED61F" w:rsidR="008F4B83" w:rsidRDefault="008F4B83" w:rsidP="00216F1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4D372A0F" w14:textId="6482C121" w:rsidR="008F4B83" w:rsidRPr="00E21964" w:rsidRDefault="007402E0" w:rsidP="008F4B83">
            <w:pPr>
              <w:rPr>
                <w:b/>
                <w:bCs/>
              </w:rPr>
            </w:pPr>
            <w:r>
              <w:rPr>
                <w:b/>
                <w:bCs/>
              </w:rPr>
              <w:t>Utilise</w:t>
            </w:r>
            <w:r w:rsidR="008F4B83" w:rsidRPr="00E21964">
              <w:rPr>
                <w:b/>
                <w:bCs/>
              </w:rPr>
              <w:t xml:space="preserve"> credible voices </w:t>
            </w:r>
            <w:r w:rsidR="006A2D7F" w:rsidRPr="00E21964">
              <w:rPr>
                <w:b/>
                <w:bCs/>
              </w:rPr>
              <w:t>within the target population.</w:t>
            </w:r>
          </w:p>
          <w:p w14:paraId="37E49CB6" w14:textId="77777777" w:rsidR="008F4B83" w:rsidRPr="00E21964" w:rsidRDefault="008F4B83" w:rsidP="008F4B83">
            <w:pPr>
              <w:rPr>
                <w:b/>
                <w:bCs/>
              </w:rPr>
            </w:pPr>
          </w:p>
        </w:tc>
        <w:tc>
          <w:tcPr>
            <w:tcW w:w="5477" w:type="dxa"/>
          </w:tcPr>
          <w:p w14:paraId="585CC9EF" w14:textId="15026238" w:rsidR="008F4B83" w:rsidRDefault="00BF483F" w:rsidP="00E21964">
            <w:pPr>
              <w:pStyle w:val="ListParagraph"/>
              <w:numPr>
                <w:ilvl w:val="0"/>
                <w:numId w:val="7"/>
              </w:numPr>
            </w:pPr>
            <w:r>
              <w:t xml:space="preserve">Build on </w:t>
            </w:r>
            <w:r w:rsidR="00B0356C">
              <w:t xml:space="preserve">learnings from </w:t>
            </w:r>
            <w:r>
              <w:t xml:space="preserve">previous projects completed within the target group and understand who </w:t>
            </w:r>
            <w:r w:rsidR="00B0356C">
              <w:t>the credible voices within the community are.</w:t>
            </w:r>
          </w:p>
        </w:tc>
      </w:tr>
      <w:tr w:rsidR="008F4B83" w14:paraId="5CB8DB39" w14:textId="77777777" w:rsidTr="4CA5EE92">
        <w:tc>
          <w:tcPr>
            <w:tcW w:w="421" w:type="dxa"/>
            <w:tcBorders>
              <w:bottom w:val="single" w:sz="2" w:space="0" w:color="000000" w:themeColor="text1"/>
            </w:tcBorders>
          </w:tcPr>
          <w:p w14:paraId="2DB7323E" w14:textId="771D719A" w:rsidR="008F4B83" w:rsidRDefault="008F4B83" w:rsidP="00216F1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tcBorders>
              <w:bottom w:val="single" w:sz="2" w:space="0" w:color="000000" w:themeColor="text1"/>
            </w:tcBorders>
          </w:tcPr>
          <w:p w14:paraId="3ABF0BC0" w14:textId="315B826C" w:rsidR="008F4B83" w:rsidRPr="00E21964" w:rsidRDefault="008F4B83" w:rsidP="008F4B83">
            <w:pPr>
              <w:rPr>
                <w:b/>
                <w:bCs/>
              </w:rPr>
            </w:pPr>
            <w:r w:rsidRPr="00E21964">
              <w:rPr>
                <w:b/>
                <w:bCs/>
              </w:rPr>
              <w:t>Utilising the knowledge and expertise in the 3</w:t>
            </w:r>
            <w:r w:rsidRPr="00E21964">
              <w:rPr>
                <w:b/>
                <w:bCs/>
                <w:vertAlign w:val="superscript"/>
              </w:rPr>
              <w:t>rd</w:t>
            </w:r>
            <w:r w:rsidRPr="00E21964">
              <w:rPr>
                <w:b/>
                <w:bCs/>
              </w:rPr>
              <w:t xml:space="preserve"> sector</w:t>
            </w:r>
            <w:r w:rsidR="006A2D7F" w:rsidRPr="00E21964">
              <w:rPr>
                <w:b/>
                <w:bCs/>
              </w:rPr>
              <w:t>.</w:t>
            </w:r>
          </w:p>
          <w:p w14:paraId="680F36D5" w14:textId="77777777" w:rsidR="008F4B83" w:rsidRPr="00E21964" w:rsidRDefault="008F4B83" w:rsidP="008F4B83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bottom w:val="single" w:sz="2" w:space="0" w:color="000000" w:themeColor="text1"/>
            </w:tcBorders>
          </w:tcPr>
          <w:p w14:paraId="2AB78011" w14:textId="7F5A9CBD" w:rsidR="008F4B83" w:rsidRDefault="00B0356C" w:rsidP="00E21964">
            <w:pPr>
              <w:pStyle w:val="ListParagraph"/>
              <w:numPr>
                <w:ilvl w:val="0"/>
                <w:numId w:val="7"/>
              </w:numPr>
            </w:pPr>
            <w:r>
              <w:t>Scope out organisations/groups already working with the target group and utilise their experience and knowledge to develop comms and engagement plan.</w:t>
            </w:r>
          </w:p>
        </w:tc>
      </w:tr>
      <w:tr w:rsidR="00FC2AF1" w14:paraId="06DC61A5" w14:textId="77777777" w:rsidTr="4CA5EE92">
        <w:tc>
          <w:tcPr>
            <w:tcW w:w="4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5C3A6375" w14:textId="77777777" w:rsidR="00FC2AF1" w:rsidRDefault="00FC2AF1" w:rsidP="00CA32C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C24CB59" w14:textId="77777777" w:rsidR="00FC2AF1" w:rsidRPr="00E21964" w:rsidRDefault="00FC2AF1" w:rsidP="00FC2AF1">
            <w:pPr>
              <w:rPr>
                <w:b/>
                <w:bCs/>
              </w:rPr>
            </w:pPr>
            <w:r w:rsidRPr="00E21964">
              <w:rPr>
                <w:b/>
                <w:bCs/>
              </w:rPr>
              <w:t>Evaluation</w:t>
            </w:r>
          </w:p>
          <w:p w14:paraId="47065E5D" w14:textId="77777777" w:rsidR="00FC2AF1" w:rsidRPr="00E21964" w:rsidRDefault="00FC2AF1" w:rsidP="00FC2AF1">
            <w:pPr>
              <w:rPr>
                <w:b/>
                <w:bCs/>
              </w:rPr>
            </w:pPr>
          </w:p>
        </w:tc>
        <w:tc>
          <w:tcPr>
            <w:tcW w:w="54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5A5EEDF9" w14:textId="7A99C31C" w:rsidR="00FC2AF1" w:rsidRDefault="00FC2AF1" w:rsidP="00E21964">
            <w:pPr>
              <w:pStyle w:val="ListParagraph"/>
              <w:numPr>
                <w:ilvl w:val="0"/>
                <w:numId w:val="7"/>
              </w:numPr>
            </w:pPr>
            <w:r>
              <w:t>The impact of all the projects should be measured.  The learnings from these can be built upon for future projects with the community.</w:t>
            </w:r>
          </w:p>
        </w:tc>
      </w:tr>
    </w:tbl>
    <w:p w14:paraId="759AB508" w14:textId="17364420" w:rsidR="006D5B67" w:rsidRDefault="006D5B67" w:rsidP="7C938C1A"/>
    <w:sectPr w:rsidR="006D5B67" w:rsidSect="00180BC1">
      <w:headerReference w:type="default" r:id="rId10"/>
      <w:footerReference w:type="defaul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23EF" w14:textId="77777777" w:rsidR="00EF6812" w:rsidRDefault="00EF6812" w:rsidP="00C117EC">
      <w:pPr>
        <w:spacing w:after="0" w:line="240" w:lineRule="auto"/>
      </w:pPr>
      <w:r>
        <w:separator/>
      </w:r>
    </w:p>
  </w:endnote>
  <w:endnote w:type="continuationSeparator" w:id="0">
    <w:p w14:paraId="5DC76226" w14:textId="77777777" w:rsidR="00EF6812" w:rsidRDefault="00EF6812" w:rsidP="00C1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C938C1A" w14:paraId="6F9B25D1" w14:textId="77777777" w:rsidTr="7C938C1A">
      <w:tc>
        <w:tcPr>
          <w:tcW w:w="3005" w:type="dxa"/>
        </w:tcPr>
        <w:p w14:paraId="6E2B44AC" w14:textId="29D1D251" w:rsidR="7C938C1A" w:rsidRDefault="7C938C1A" w:rsidP="7C938C1A">
          <w:pPr>
            <w:pStyle w:val="Header"/>
            <w:ind w:left="-115"/>
          </w:pPr>
        </w:p>
      </w:tc>
      <w:tc>
        <w:tcPr>
          <w:tcW w:w="3005" w:type="dxa"/>
        </w:tcPr>
        <w:p w14:paraId="16AE15CA" w14:textId="67D80A56" w:rsidR="7C938C1A" w:rsidRDefault="7C938C1A" w:rsidP="7C938C1A">
          <w:pPr>
            <w:pStyle w:val="Header"/>
            <w:jc w:val="center"/>
          </w:pPr>
        </w:p>
      </w:tc>
      <w:tc>
        <w:tcPr>
          <w:tcW w:w="3005" w:type="dxa"/>
        </w:tcPr>
        <w:p w14:paraId="43E9A6CB" w14:textId="0BB51C13" w:rsidR="7C938C1A" w:rsidRDefault="7C938C1A" w:rsidP="7C938C1A">
          <w:pPr>
            <w:pStyle w:val="Header"/>
            <w:ind w:right="-115"/>
            <w:jc w:val="right"/>
          </w:pPr>
        </w:p>
      </w:tc>
    </w:tr>
  </w:tbl>
  <w:p w14:paraId="6A547964" w14:textId="47D411FC" w:rsidR="7C938C1A" w:rsidRDefault="7C938C1A" w:rsidP="7C938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6A42" w14:textId="77777777" w:rsidR="00EF6812" w:rsidRDefault="00EF6812" w:rsidP="00C117EC">
      <w:pPr>
        <w:spacing w:after="0" w:line="240" w:lineRule="auto"/>
      </w:pPr>
      <w:r>
        <w:separator/>
      </w:r>
    </w:p>
  </w:footnote>
  <w:footnote w:type="continuationSeparator" w:id="0">
    <w:p w14:paraId="4B967163" w14:textId="77777777" w:rsidR="00EF6812" w:rsidRDefault="00EF6812" w:rsidP="00C1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C20F" w14:textId="7CEE04C1" w:rsidR="00C117EC" w:rsidRDefault="003E3893" w:rsidP="003E3893">
    <w:pPr>
      <w:pStyle w:val="Header"/>
      <w:jc w:val="both"/>
    </w:pPr>
    <w:r>
      <w:rPr>
        <w:noProof/>
        <w:lang w:eastAsia="en-GB"/>
      </w:rPr>
      <w:drawing>
        <wp:inline distT="0" distB="0" distL="0" distR="0" wp14:anchorId="1E4D601C" wp14:editId="20433312">
          <wp:extent cx="3506045" cy="1539240"/>
          <wp:effectExtent l="0" t="0" r="0" b="3810"/>
          <wp:docPr id="3" name="Picture 3" descr="Shape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50" cy="158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7E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2F8"/>
    <w:multiLevelType w:val="hybridMultilevel"/>
    <w:tmpl w:val="5E9CF5D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5F5F92"/>
    <w:multiLevelType w:val="hybridMultilevel"/>
    <w:tmpl w:val="B390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6902"/>
    <w:multiLevelType w:val="hybridMultilevel"/>
    <w:tmpl w:val="592EC818"/>
    <w:lvl w:ilvl="0" w:tplc="1BE46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72F"/>
    <w:multiLevelType w:val="hybridMultilevel"/>
    <w:tmpl w:val="3C3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6C6D"/>
    <w:multiLevelType w:val="hybridMultilevel"/>
    <w:tmpl w:val="D4DC8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6B57"/>
    <w:multiLevelType w:val="hybridMultilevel"/>
    <w:tmpl w:val="5D94808C"/>
    <w:lvl w:ilvl="0" w:tplc="E618ABF8">
      <w:start w:val="1"/>
      <w:numFmt w:val="decimal"/>
      <w:lvlText w:val="%1."/>
      <w:lvlJc w:val="left"/>
      <w:pPr>
        <w:ind w:left="360" w:hanging="360"/>
      </w:pPr>
      <w:rPr>
        <w:b/>
        <w:bCs/>
        <w:color w:val="0070C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F6FF1"/>
    <w:multiLevelType w:val="hybridMultilevel"/>
    <w:tmpl w:val="7C28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E5"/>
    <w:rsid w:val="00010F19"/>
    <w:rsid w:val="000121A4"/>
    <w:rsid w:val="00026F7F"/>
    <w:rsid w:val="00041C6F"/>
    <w:rsid w:val="000A65DB"/>
    <w:rsid w:val="000F4B8E"/>
    <w:rsid w:val="00135683"/>
    <w:rsid w:val="00180BC1"/>
    <w:rsid w:val="00182EF2"/>
    <w:rsid w:val="001A4939"/>
    <w:rsid w:val="001C7FC9"/>
    <w:rsid w:val="00216F1E"/>
    <w:rsid w:val="00256CD7"/>
    <w:rsid w:val="00261ABE"/>
    <w:rsid w:val="002C6C02"/>
    <w:rsid w:val="00371569"/>
    <w:rsid w:val="003873FD"/>
    <w:rsid w:val="003A2A60"/>
    <w:rsid w:val="003B42F5"/>
    <w:rsid w:val="003E1EBE"/>
    <w:rsid w:val="003E3893"/>
    <w:rsid w:val="00444369"/>
    <w:rsid w:val="004618B9"/>
    <w:rsid w:val="00497818"/>
    <w:rsid w:val="005820DC"/>
    <w:rsid w:val="005B5C1A"/>
    <w:rsid w:val="005C019D"/>
    <w:rsid w:val="0061681D"/>
    <w:rsid w:val="00661EE9"/>
    <w:rsid w:val="006A2D7F"/>
    <w:rsid w:val="006A636F"/>
    <w:rsid w:val="006D1FE9"/>
    <w:rsid w:val="006D5B67"/>
    <w:rsid w:val="006E1A99"/>
    <w:rsid w:val="006E5CC8"/>
    <w:rsid w:val="0071750D"/>
    <w:rsid w:val="007402E0"/>
    <w:rsid w:val="007A52D3"/>
    <w:rsid w:val="007F036A"/>
    <w:rsid w:val="007F0C0E"/>
    <w:rsid w:val="00827BD6"/>
    <w:rsid w:val="00832032"/>
    <w:rsid w:val="008875AF"/>
    <w:rsid w:val="008B7560"/>
    <w:rsid w:val="008F4B83"/>
    <w:rsid w:val="008F68CA"/>
    <w:rsid w:val="00903404"/>
    <w:rsid w:val="00913A25"/>
    <w:rsid w:val="00925179"/>
    <w:rsid w:val="00981B40"/>
    <w:rsid w:val="009916ED"/>
    <w:rsid w:val="00A42BCC"/>
    <w:rsid w:val="00A707E5"/>
    <w:rsid w:val="00B0356C"/>
    <w:rsid w:val="00BB4274"/>
    <w:rsid w:val="00BF483F"/>
    <w:rsid w:val="00C117EC"/>
    <w:rsid w:val="00C77474"/>
    <w:rsid w:val="00CA32CA"/>
    <w:rsid w:val="00D04C1C"/>
    <w:rsid w:val="00D7027B"/>
    <w:rsid w:val="00DC5FC0"/>
    <w:rsid w:val="00E21964"/>
    <w:rsid w:val="00EF6812"/>
    <w:rsid w:val="00FC2AF1"/>
    <w:rsid w:val="00FF7322"/>
    <w:rsid w:val="38A7852D"/>
    <w:rsid w:val="3BF8F831"/>
    <w:rsid w:val="4CA5EE92"/>
    <w:rsid w:val="575FD31A"/>
    <w:rsid w:val="5CD440C9"/>
    <w:rsid w:val="6EC0FAB0"/>
    <w:rsid w:val="7B537D25"/>
    <w:rsid w:val="7C938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9AB5A"/>
  <w15:chartTrackingRefBased/>
  <w15:docId w15:val="{467C7539-428E-4A8F-957C-83572247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0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707E5"/>
    <w:pPr>
      <w:ind w:left="720"/>
      <w:contextualSpacing/>
    </w:pPr>
  </w:style>
  <w:style w:type="table" w:styleId="TableGrid">
    <w:name w:val="Table Grid"/>
    <w:basedOn w:val="TableNormal"/>
    <w:uiPriority w:val="39"/>
    <w:rsid w:val="008F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1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EC"/>
  </w:style>
  <w:style w:type="paragraph" w:styleId="Footer">
    <w:name w:val="footer"/>
    <w:basedOn w:val="Normal"/>
    <w:link w:val="FooterChar"/>
    <w:uiPriority w:val="99"/>
    <w:unhideWhenUsed/>
    <w:rsid w:val="00C11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EC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E389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B6DD.99A257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53f7d-33ba-4bba-81a2-a040b7a8987f">
      <Terms xmlns="http://schemas.microsoft.com/office/infopath/2007/PartnerControls"/>
    </lcf76f155ced4ddcb4097134ff3c332f>
    <TaxCatchAll xmlns="435440a9-b756-4f02-8397-23bac2d0f8e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6571EC67EDE44985E6D0CC3B0BDA9" ma:contentTypeVersion="17" ma:contentTypeDescription="Create a new document." ma:contentTypeScope="" ma:versionID="5518c9bea1a3c8fe2d011ac58e91bb98">
  <xsd:schema xmlns:xsd="http://www.w3.org/2001/XMLSchema" xmlns:xs="http://www.w3.org/2001/XMLSchema" xmlns:p="http://schemas.microsoft.com/office/2006/metadata/properties" xmlns:ns1="http://schemas.microsoft.com/sharepoint/v3" xmlns:ns2="98453f7d-33ba-4bba-81a2-a040b7a8987f" xmlns:ns3="435440a9-b756-4f02-8397-23bac2d0f8eb" targetNamespace="http://schemas.microsoft.com/office/2006/metadata/properties" ma:root="true" ma:fieldsID="f061c47fc2f4dc29a95e303e2ebcbff7" ns1:_="" ns2:_="" ns3:_="">
    <xsd:import namespace="http://schemas.microsoft.com/sharepoint/v3"/>
    <xsd:import namespace="98453f7d-33ba-4bba-81a2-a040b7a8987f"/>
    <xsd:import namespace="435440a9-b756-4f02-8397-23bac2d0f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3f7d-33ba-4bba-81a2-a040b7a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40a9-b756-4f02-8397-23bac2d0f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7b2758-3879-4f43-bffb-aae062e1be55}" ma:internalName="TaxCatchAll" ma:showField="CatchAllData" ma:web="435440a9-b756-4f02-8397-23bac2d0f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E45F2-AC33-4C69-9178-E15E44AE7C26}">
  <ds:schemaRefs>
    <ds:schemaRef ds:uri="http://schemas.microsoft.com/office/2006/metadata/properties"/>
    <ds:schemaRef ds:uri="http://schemas.microsoft.com/office/infopath/2007/PartnerControls"/>
    <ds:schemaRef ds:uri="0fbd0d02-8da4-4ba8-8b37-aa7d9d47f854"/>
    <ds:schemaRef ds:uri="0679994b-fd14-490f-b029-f344cf1aec31"/>
    <ds:schemaRef ds:uri="98453f7d-33ba-4bba-81a2-a040b7a8987f"/>
    <ds:schemaRef ds:uri="435440a9-b756-4f02-8397-23bac2d0f8e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2C8C3D-64D9-4D23-8CCC-C10F2B4A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453f7d-33ba-4bba-81a2-a040b7a8987f"/>
    <ds:schemaRef ds:uri="435440a9-b756-4f02-8397-23bac2d0f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3805C-80C6-4DEB-9AFB-4D4DF6618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Nasar</dc:creator>
  <cp:keywords/>
  <dc:description/>
  <cp:lastModifiedBy>COHEN, Kenyetta (NHS WEST YORKSHIRE ICB - 15F)</cp:lastModifiedBy>
  <cp:revision>5</cp:revision>
  <dcterms:created xsi:type="dcterms:W3CDTF">2022-07-19T09:05:00Z</dcterms:created>
  <dcterms:modified xsi:type="dcterms:W3CDTF">2022-08-10T18:50:00Z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0x0101004786571EC67EDE44985E6D0CC3B0BDA9</vt:lpwstr>
  </property>
  <property fmtid="{D5CDD505-2E9C-101B-9397-08002B2CF9AE}" pid="3" name="MediaServiceImageTags">
    <vt:lpwstr/>
  </property>
</Properties>
</file>